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4D38B" w14:textId="495A0CA0" w:rsidR="00876358" w:rsidRDefault="002F64BB">
      <w:pPr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VDI Overview</w:t>
      </w:r>
    </w:p>
    <w:p w14:paraId="7104D38F" w14:textId="1C5B65AE" w:rsidR="00692793" w:rsidRDefault="000C4F45" w:rsidP="00FC2E7E">
      <w:pPr>
        <w:rPr>
          <w:b/>
          <w:color w:val="984806" w:themeColor="accent6" w:themeShade="80"/>
        </w:rPr>
      </w:pPr>
      <w:r w:rsidRPr="0006100D">
        <w:rPr>
          <w:b/>
        </w:rPr>
        <w:t>Duration:  Approx</w:t>
      </w:r>
      <w:r w:rsidR="00844FB0" w:rsidRPr="0006100D">
        <w:rPr>
          <w:b/>
        </w:rPr>
        <w:t xml:space="preserve"> </w:t>
      </w:r>
      <w:r w:rsidR="00FC2E7E">
        <w:rPr>
          <w:b/>
        </w:rPr>
        <w:t>2</w:t>
      </w:r>
      <w:r w:rsidR="00844FB0" w:rsidRPr="0006100D">
        <w:rPr>
          <w:b/>
        </w:rPr>
        <w:t xml:space="preserve"> minute</w:t>
      </w:r>
      <w:r w:rsidR="00FC2E7E">
        <w:rPr>
          <w:b/>
        </w:rPr>
        <w:t>s</w:t>
      </w:r>
      <w:r w:rsidR="00FC2E7E">
        <w:rPr>
          <w:b/>
        </w:rPr>
        <w:tab/>
      </w:r>
      <w:r w:rsidR="00FC2E7E">
        <w:rPr>
          <w:b/>
        </w:rPr>
        <w:tab/>
      </w:r>
      <w:r w:rsidR="00692793" w:rsidRPr="00692793">
        <w:rPr>
          <w:b/>
          <w:color w:val="984806" w:themeColor="accent6" w:themeShade="80"/>
        </w:rPr>
        <w:t>Dark Orange Text = Camtasia Studio Graphics</w:t>
      </w:r>
    </w:p>
    <w:tbl>
      <w:tblPr>
        <w:tblStyle w:val="TableGrid"/>
        <w:tblW w:w="14175" w:type="dxa"/>
        <w:tblInd w:w="108" w:type="dxa"/>
        <w:tblLook w:val="04A0" w:firstRow="1" w:lastRow="0" w:firstColumn="1" w:lastColumn="0" w:noHBand="0" w:noVBand="1"/>
      </w:tblPr>
      <w:tblGrid>
        <w:gridCol w:w="1973"/>
        <w:gridCol w:w="3381"/>
        <w:gridCol w:w="8821"/>
      </w:tblGrid>
      <w:tr w:rsidR="000A4D82" w:rsidRPr="00237C3A" w14:paraId="7104D395" w14:textId="77777777" w:rsidTr="002E79D3">
        <w:trPr>
          <w:cantSplit/>
          <w:tblHeader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04D391" w14:textId="77777777" w:rsidR="000A4D82" w:rsidRPr="00237C3A" w:rsidRDefault="000A4D82" w:rsidP="00237C3A">
            <w:pPr>
              <w:spacing w:before="120" w:after="120"/>
              <w:rPr>
                <w:b/>
                <w:color w:val="FFFFFF" w:themeColor="background1"/>
              </w:rPr>
            </w:pPr>
            <w:r w:rsidRPr="00237C3A">
              <w:rPr>
                <w:b/>
                <w:color w:val="FFFFFF" w:themeColor="background1"/>
              </w:rPr>
              <w:t>Application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7104D393" w14:textId="77777777" w:rsidR="000A4D82" w:rsidRPr="00237C3A" w:rsidRDefault="000A4D82" w:rsidP="00237C3A">
            <w:pPr>
              <w:spacing w:before="120" w:after="120"/>
              <w:rPr>
                <w:b/>
                <w:color w:val="FFFFFF" w:themeColor="background1"/>
              </w:rPr>
            </w:pPr>
            <w:r w:rsidRPr="00237C3A">
              <w:rPr>
                <w:b/>
                <w:color w:val="FFFFFF" w:themeColor="background1"/>
              </w:rPr>
              <w:t>Action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04D394" w14:textId="77777777" w:rsidR="000A4D82" w:rsidRPr="00237C3A" w:rsidRDefault="000A4D82" w:rsidP="00237C3A">
            <w:pPr>
              <w:spacing w:before="120" w:after="120"/>
              <w:rPr>
                <w:b/>
                <w:color w:val="FFFFFF" w:themeColor="background1"/>
              </w:rPr>
            </w:pPr>
            <w:r w:rsidRPr="00237C3A">
              <w:rPr>
                <w:b/>
                <w:color w:val="FFFFFF" w:themeColor="background1"/>
              </w:rPr>
              <w:t>Narrative</w:t>
            </w:r>
          </w:p>
        </w:tc>
      </w:tr>
      <w:tr w:rsidR="000A4D82" w14:paraId="21B18A20" w14:textId="77777777" w:rsidTr="002E79D3">
        <w:trPr>
          <w:cantSplit/>
          <w:trHeight w:val="455"/>
        </w:trPr>
        <w:tc>
          <w:tcPr>
            <w:tcW w:w="1973" w:type="dxa"/>
            <w:tcBorders>
              <w:top w:val="single" w:sz="4" w:space="0" w:color="auto"/>
            </w:tcBorders>
          </w:tcPr>
          <w:p w14:paraId="05D931D7" w14:textId="77777777" w:rsidR="000A4D82" w:rsidRPr="00417150" w:rsidRDefault="000A4D82" w:rsidP="00A96F5D">
            <w:pPr>
              <w:spacing w:before="120" w:after="120"/>
              <w:rPr>
                <w:b/>
              </w:rPr>
            </w:pPr>
            <w:r w:rsidRPr="00417150">
              <w:rPr>
                <w:b/>
              </w:rPr>
              <w:t>PowerPoint</w:t>
            </w: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24CEA085" w14:textId="77777777" w:rsidR="000A4D82" w:rsidRPr="00417150" w:rsidRDefault="000A4D82" w:rsidP="00A96F5D">
            <w:pPr>
              <w:spacing w:before="120" w:after="120"/>
              <w:rPr>
                <w:b/>
              </w:rPr>
            </w:pPr>
            <w:r w:rsidRPr="00417150">
              <w:rPr>
                <w:b/>
              </w:rPr>
              <w:t>Display title slide</w:t>
            </w: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25F0CB3C" w14:textId="0452E0D3" w:rsidR="000A4D82" w:rsidRPr="002F64BB" w:rsidRDefault="002F64BB" w:rsidP="002F64BB">
            <w:pPr>
              <w:spacing w:before="120" w:after="120"/>
            </w:pPr>
            <w:r w:rsidRPr="002F64BB">
              <w:t>UniSA's</w:t>
            </w:r>
            <w:r>
              <w:t xml:space="preserve"> </w:t>
            </w:r>
            <w:r w:rsidRPr="002F64BB">
              <w:t>Virtual Desktop Infrastructure (VDI) allows staff and students</w:t>
            </w:r>
            <w:r>
              <w:t xml:space="preserve"> </w:t>
            </w:r>
            <w:r w:rsidRPr="002F64BB">
              <w:t>to securely access a 'virtual</w:t>
            </w:r>
            <w:bookmarkStart w:id="0" w:name="_GoBack"/>
            <w:bookmarkEnd w:id="0"/>
            <w:r w:rsidRPr="002F64BB">
              <w:t>' Windows desktop from on or off campus using a number of devices, such as University and home PCs, laptops,</w:t>
            </w:r>
            <w:r>
              <w:t xml:space="preserve"> </w:t>
            </w:r>
            <w:r w:rsidRPr="002F64BB">
              <w:t>and non-Windows devices.</w:t>
            </w:r>
          </w:p>
        </w:tc>
      </w:tr>
      <w:tr w:rsidR="00AF2340" w14:paraId="7325578B" w14:textId="77777777" w:rsidTr="00A27605">
        <w:trPr>
          <w:cantSplit/>
          <w:trHeight w:val="455"/>
        </w:trPr>
        <w:tc>
          <w:tcPr>
            <w:tcW w:w="1417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14DB14" w14:textId="298D5AB7" w:rsidR="00AF2340" w:rsidRDefault="00AF2340" w:rsidP="00E90381">
            <w:pPr>
              <w:spacing w:before="120" w:after="120"/>
            </w:pPr>
            <w:r w:rsidRPr="000A4D82">
              <w:rPr>
                <w:b/>
                <w:color w:val="984806" w:themeColor="accent6" w:themeShade="80"/>
              </w:rPr>
              <w:t>Transition</w:t>
            </w:r>
            <w:r>
              <w:rPr>
                <w:b/>
                <w:color w:val="984806" w:themeColor="accent6" w:themeShade="80"/>
              </w:rPr>
              <w:t xml:space="preserve"> to </w:t>
            </w:r>
            <w:r w:rsidR="00E90381">
              <w:rPr>
                <w:b/>
                <w:color w:val="984806" w:themeColor="accent6" w:themeShade="80"/>
              </w:rPr>
              <w:t>VDI Support</w:t>
            </w:r>
          </w:p>
        </w:tc>
      </w:tr>
      <w:tr w:rsidR="0069708D" w14:paraId="1951C191" w14:textId="77777777" w:rsidTr="002E79D3">
        <w:trPr>
          <w:cantSplit/>
          <w:trHeight w:val="455"/>
        </w:trPr>
        <w:tc>
          <w:tcPr>
            <w:tcW w:w="1973" w:type="dxa"/>
            <w:vMerge w:val="restart"/>
          </w:tcPr>
          <w:p w14:paraId="2BECD11B" w14:textId="77777777" w:rsidR="0069708D" w:rsidRPr="00417150" w:rsidRDefault="0069708D" w:rsidP="00A27605">
            <w:pPr>
              <w:spacing w:before="120" w:after="120"/>
              <w:rPr>
                <w:b/>
              </w:rPr>
            </w:pPr>
            <w:r>
              <w:rPr>
                <w:b/>
              </w:rPr>
              <w:t>VDI Support</w:t>
            </w:r>
          </w:p>
        </w:tc>
        <w:tc>
          <w:tcPr>
            <w:tcW w:w="3381" w:type="dxa"/>
            <w:vMerge w:val="restart"/>
          </w:tcPr>
          <w:p w14:paraId="371ECA2E" w14:textId="2E3B38D0" w:rsidR="0069708D" w:rsidRDefault="0069708D" w:rsidP="00A27605">
            <w:pPr>
              <w:spacing w:before="120" w:after="120"/>
              <w:rPr>
                <w:b/>
              </w:rPr>
            </w:pPr>
            <w:r>
              <w:rPr>
                <w:b/>
                <w:color w:val="984806" w:themeColor="accent6" w:themeShade="80"/>
              </w:rPr>
              <w:t>Zoom/highlight VDI Install Topic</w:t>
            </w: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333F2A97" w14:textId="5C8B4459" w:rsidR="0069708D" w:rsidRDefault="0069708D" w:rsidP="00A27605">
            <w:pPr>
              <w:spacing w:before="120" w:after="120"/>
            </w:pPr>
            <w:r w:rsidRPr="002F64BB">
              <w:t>A</w:t>
            </w:r>
            <w:r>
              <w:t xml:space="preserve"> </w:t>
            </w:r>
            <w:r w:rsidRPr="002F64BB">
              <w:t>'VDI Client' (VMware View Client) must be downloaded and installed</w:t>
            </w:r>
            <w:r>
              <w:t xml:space="preserve"> </w:t>
            </w:r>
            <w:r w:rsidRPr="002F64BB">
              <w:t>to enable a device to connect to</w:t>
            </w:r>
            <w:r>
              <w:t xml:space="preserve"> </w:t>
            </w:r>
            <w:r w:rsidRPr="002F64BB">
              <w:t>UniSA virtual desktops.</w:t>
            </w:r>
          </w:p>
        </w:tc>
      </w:tr>
      <w:tr w:rsidR="0069708D" w14:paraId="022C4416" w14:textId="77777777" w:rsidTr="002E79D3">
        <w:trPr>
          <w:cantSplit/>
          <w:trHeight w:val="455"/>
        </w:trPr>
        <w:tc>
          <w:tcPr>
            <w:tcW w:w="1973" w:type="dxa"/>
            <w:vMerge/>
          </w:tcPr>
          <w:p w14:paraId="69AD4E42" w14:textId="77777777" w:rsidR="0069708D" w:rsidRDefault="0069708D" w:rsidP="00A27605">
            <w:pPr>
              <w:spacing w:before="120" w:after="120"/>
              <w:rPr>
                <w:b/>
              </w:rPr>
            </w:pPr>
          </w:p>
        </w:tc>
        <w:tc>
          <w:tcPr>
            <w:tcW w:w="3381" w:type="dxa"/>
            <w:vMerge/>
          </w:tcPr>
          <w:p w14:paraId="38A0316A" w14:textId="77777777" w:rsidR="0069708D" w:rsidRDefault="0069708D" w:rsidP="00A27605">
            <w:pPr>
              <w:spacing w:before="120" w:after="120"/>
              <w:rPr>
                <w:b/>
                <w:color w:val="984806" w:themeColor="accent6" w:themeShade="80"/>
              </w:rPr>
            </w:pP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74948E84" w14:textId="1768F273" w:rsidR="0069708D" w:rsidRDefault="0069708D" w:rsidP="0069708D">
            <w:pPr>
              <w:spacing w:before="120" w:after="120"/>
            </w:pPr>
            <w:r>
              <w:t>This</w:t>
            </w:r>
            <w:r w:rsidRPr="00E936F2">
              <w:t xml:space="preserve"> is a 'one-off' process per device</w:t>
            </w:r>
            <w:r>
              <w:t>…</w:t>
            </w:r>
          </w:p>
        </w:tc>
      </w:tr>
      <w:tr w:rsidR="0069708D" w14:paraId="62D2DFF5" w14:textId="77777777" w:rsidTr="00A27605">
        <w:trPr>
          <w:cantSplit/>
          <w:trHeight w:val="455"/>
        </w:trPr>
        <w:tc>
          <w:tcPr>
            <w:tcW w:w="1417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F053FD" w14:textId="2D04B427" w:rsidR="0069708D" w:rsidRDefault="0069708D" w:rsidP="0069708D">
            <w:pPr>
              <w:spacing w:before="120" w:after="120"/>
            </w:pPr>
            <w:r w:rsidRPr="000A4D82">
              <w:rPr>
                <w:b/>
                <w:color w:val="984806" w:themeColor="accent6" w:themeShade="80"/>
              </w:rPr>
              <w:t>Transition</w:t>
            </w:r>
            <w:r>
              <w:rPr>
                <w:b/>
                <w:color w:val="984806" w:themeColor="accent6" w:themeShade="80"/>
              </w:rPr>
              <w:t xml:space="preserve"> to </w:t>
            </w:r>
            <w:r>
              <w:rPr>
                <w:b/>
                <w:color w:val="984806" w:themeColor="accent6" w:themeShade="80"/>
              </w:rPr>
              <w:t>Desktop</w:t>
            </w:r>
          </w:p>
        </w:tc>
      </w:tr>
      <w:tr w:rsidR="0069708D" w14:paraId="75DCBFE3" w14:textId="77777777" w:rsidTr="002E79D3">
        <w:trPr>
          <w:cantSplit/>
          <w:trHeight w:val="455"/>
        </w:trPr>
        <w:tc>
          <w:tcPr>
            <w:tcW w:w="1973" w:type="dxa"/>
            <w:tcBorders>
              <w:top w:val="single" w:sz="4" w:space="0" w:color="auto"/>
            </w:tcBorders>
          </w:tcPr>
          <w:p w14:paraId="1E929095" w14:textId="1111E212" w:rsidR="0069708D" w:rsidRDefault="0069708D" w:rsidP="00A96F5D">
            <w:pPr>
              <w:spacing w:before="120" w:after="120"/>
              <w:rPr>
                <w:b/>
              </w:rPr>
            </w:pPr>
            <w:r>
              <w:rPr>
                <w:b/>
              </w:rPr>
              <w:t>Desktop</w:t>
            </w: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441485B1" w14:textId="77777777" w:rsidR="0069708D" w:rsidRDefault="0069708D" w:rsidP="002F64BB">
            <w:pPr>
              <w:spacing w:before="120" w:after="120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Zoom/highlight </w:t>
            </w:r>
            <w:r>
              <w:rPr>
                <w:b/>
                <w:color w:val="984806" w:themeColor="accent6" w:themeShade="80"/>
              </w:rPr>
              <w:t>VMware View Client icon</w:t>
            </w:r>
          </w:p>
          <w:p w14:paraId="77C1604B" w14:textId="7A7405CD" w:rsidR="00766BD8" w:rsidRPr="00766BD8" w:rsidRDefault="00766BD8" w:rsidP="002F64BB">
            <w:pPr>
              <w:spacing w:before="120" w:after="120"/>
              <w:rPr>
                <w:b/>
              </w:rPr>
            </w:pPr>
            <w:r w:rsidRPr="002F64BB">
              <w:rPr>
                <w:b/>
              </w:rPr>
              <w:t>Open VMware View Client</w:t>
            </w: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509817FA" w14:textId="4B281B5F" w:rsidR="0069708D" w:rsidRPr="002F64BB" w:rsidRDefault="0069708D" w:rsidP="00766BD8">
            <w:pPr>
              <w:spacing w:before="120" w:after="120"/>
            </w:pPr>
            <w:r>
              <w:t>…</w:t>
            </w:r>
            <w:r>
              <w:t xml:space="preserve">and you only need to install the VDI Client if it is not already installed on </w:t>
            </w:r>
            <w:r w:rsidR="00766BD8">
              <w:t>your</w:t>
            </w:r>
            <w:r>
              <w:t xml:space="preserve"> device.</w:t>
            </w:r>
          </w:p>
        </w:tc>
      </w:tr>
      <w:tr w:rsidR="0069708D" w14:paraId="26C236A7" w14:textId="77777777" w:rsidTr="002E79D3">
        <w:trPr>
          <w:cantSplit/>
          <w:trHeight w:val="455"/>
        </w:trPr>
        <w:tc>
          <w:tcPr>
            <w:tcW w:w="1973" w:type="dxa"/>
            <w:tcBorders>
              <w:top w:val="single" w:sz="4" w:space="0" w:color="auto"/>
            </w:tcBorders>
          </w:tcPr>
          <w:p w14:paraId="5C74A539" w14:textId="16768DC7" w:rsidR="0069708D" w:rsidRPr="00417150" w:rsidRDefault="0069708D" w:rsidP="00A96F5D">
            <w:pPr>
              <w:spacing w:before="120" w:after="120"/>
              <w:rPr>
                <w:b/>
              </w:rPr>
            </w:pPr>
            <w:r>
              <w:rPr>
                <w:b/>
              </w:rPr>
              <w:t>VMware</w:t>
            </w: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01F366C9" w14:textId="2640F86A" w:rsidR="0069708D" w:rsidRPr="00417150" w:rsidRDefault="00F105E7" w:rsidP="00A96F5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Connect to VDI – </w:t>
            </w:r>
            <w:r w:rsidRPr="00AF2340">
              <w:rPr>
                <w:b/>
                <w:highlight w:val="yellow"/>
              </w:rPr>
              <w:t>which pool?</w:t>
            </w: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71BACFC9" w14:textId="58A0DF9A" w:rsidR="0069708D" w:rsidRPr="002F64BB" w:rsidRDefault="00766BD8" w:rsidP="002F64BB">
            <w:pPr>
              <w:spacing w:before="120" w:after="120"/>
            </w:pPr>
            <w:r>
              <w:t>When connecting to a UniSA virtual desktop, you will be prompted to select the VDI Pool assigned by your Course Coordinator.</w:t>
            </w:r>
          </w:p>
        </w:tc>
      </w:tr>
      <w:tr w:rsidR="002F6939" w14:paraId="68606F50" w14:textId="77777777" w:rsidTr="002E79D3">
        <w:trPr>
          <w:cantSplit/>
          <w:trHeight w:val="455"/>
        </w:trPr>
        <w:tc>
          <w:tcPr>
            <w:tcW w:w="1973" w:type="dxa"/>
            <w:vMerge w:val="restart"/>
            <w:tcBorders>
              <w:top w:val="single" w:sz="4" w:space="0" w:color="auto"/>
            </w:tcBorders>
          </w:tcPr>
          <w:p w14:paraId="025BB36B" w14:textId="6DCFEC4E" w:rsidR="002F6939" w:rsidRDefault="002F6939" w:rsidP="00A96F5D">
            <w:pPr>
              <w:spacing w:before="120" w:after="120"/>
              <w:rPr>
                <w:b/>
              </w:rPr>
            </w:pPr>
            <w:r>
              <w:rPr>
                <w:b/>
              </w:rPr>
              <w:t>VDI Desktop</w:t>
            </w: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12FEBA0F" w14:textId="00C010D8" w:rsidR="002F6939" w:rsidRPr="00F105E7" w:rsidRDefault="002F6939" w:rsidP="00F105E7">
            <w:pPr>
              <w:spacing w:before="120" w:after="120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Zoom/</w:t>
            </w:r>
            <w:r w:rsidRPr="002E79D3">
              <w:rPr>
                <w:b/>
                <w:color w:val="984806" w:themeColor="accent6" w:themeShade="80"/>
              </w:rPr>
              <w:t xml:space="preserve">highlight </w:t>
            </w:r>
            <w:r w:rsidRPr="002E79D3">
              <w:rPr>
                <w:b/>
                <w:color w:val="984806" w:themeColor="accent6" w:themeShade="80"/>
              </w:rPr>
              <w:t>course-related</w:t>
            </w:r>
            <w:r>
              <w:rPr>
                <w:b/>
                <w:color w:val="984806" w:themeColor="accent6" w:themeShade="80"/>
              </w:rPr>
              <w:t xml:space="preserve"> Apps</w:t>
            </w: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51348F0B" w14:textId="70CC3F58" w:rsidR="002F6939" w:rsidRPr="002F64BB" w:rsidRDefault="002F6939" w:rsidP="002F64BB">
            <w:pPr>
              <w:spacing w:before="120" w:after="120"/>
            </w:pPr>
            <w:r w:rsidRPr="002F64BB">
              <w:t>Connecting to a UniSA virtual desktop</w:t>
            </w:r>
            <w:r>
              <w:t xml:space="preserve"> </w:t>
            </w:r>
            <w:r w:rsidRPr="002F64BB">
              <w:t>allows your local device to</w:t>
            </w:r>
            <w:r>
              <w:t xml:space="preserve"> </w:t>
            </w:r>
            <w:r w:rsidRPr="002F64BB">
              <w:t>access</w:t>
            </w:r>
            <w:r>
              <w:t xml:space="preserve"> </w:t>
            </w:r>
            <w:r w:rsidRPr="002F64BB">
              <w:t>the software</w:t>
            </w:r>
            <w:r>
              <w:t xml:space="preserve"> </w:t>
            </w:r>
            <w:r w:rsidRPr="002F64BB">
              <w:t>applications installed on the virtual desktop.</w:t>
            </w:r>
          </w:p>
        </w:tc>
      </w:tr>
      <w:tr w:rsidR="002F6939" w14:paraId="701A5ECC" w14:textId="77777777" w:rsidTr="002E79D3">
        <w:trPr>
          <w:cantSplit/>
          <w:trHeight w:val="455"/>
        </w:trPr>
        <w:tc>
          <w:tcPr>
            <w:tcW w:w="1973" w:type="dxa"/>
            <w:vMerge/>
          </w:tcPr>
          <w:p w14:paraId="1CFCF4B2" w14:textId="0CC14710" w:rsidR="002F6939" w:rsidRPr="00417150" w:rsidRDefault="002F6939" w:rsidP="00A96F5D">
            <w:pPr>
              <w:spacing w:before="120" w:after="120"/>
              <w:rPr>
                <w:b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2F44087D" w14:textId="5316BD3B" w:rsidR="002F6939" w:rsidRPr="00417150" w:rsidRDefault="002F6939" w:rsidP="00A96F5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Open </w:t>
            </w:r>
            <w:r w:rsidRPr="00E90381">
              <w:rPr>
                <w:b/>
                <w:highlight w:val="yellow"/>
              </w:rPr>
              <w:t>??</w:t>
            </w:r>
            <w:r w:rsidR="002E79D3">
              <w:rPr>
                <w:b/>
                <w:highlight w:val="yellow"/>
              </w:rPr>
              <w:t>EXAMPLE_APP?</w:t>
            </w:r>
            <w:r w:rsidRPr="00E90381">
              <w:rPr>
                <w:b/>
                <w:highlight w:val="yellow"/>
              </w:rPr>
              <w:t>?</w:t>
            </w: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6006633F" w14:textId="2DE73C02" w:rsidR="002F6939" w:rsidRPr="002F64BB" w:rsidRDefault="002F6939" w:rsidP="00AF2340">
            <w:pPr>
              <w:spacing w:before="120" w:after="120"/>
            </w:pPr>
            <w:r>
              <w:t xml:space="preserve">This means you can </w:t>
            </w:r>
            <w:r w:rsidRPr="002F64BB">
              <w:t>access expensive and powerful applications related to your studies from your personal device, without the expense of purchasing the required software,</w:t>
            </w:r>
            <w:r>
              <w:t xml:space="preserve"> </w:t>
            </w:r>
            <w:r w:rsidRPr="002F64BB">
              <w:t>licences,</w:t>
            </w:r>
            <w:r>
              <w:t xml:space="preserve"> </w:t>
            </w:r>
            <w:r w:rsidRPr="002F64BB">
              <w:t>and performance upgrades</w:t>
            </w:r>
            <w:r>
              <w:t xml:space="preserve"> </w:t>
            </w:r>
            <w:r w:rsidRPr="002F64BB">
              <w:t>your device might otherwise require.</w:t>
            </w:r>
          </w:p>
        </w:tc>
      </w:tr>
      <w:tr w:rsidR="002E79D3" w14:paraId="7F6877B7" w14:textId="77777777" w:rsidTr="002E79D3">
        <w:trPr>
          <w:cantSplit/>
          <w:trHeight w:val="455"/>
        </w:trPr>
        <w:tc>
          <w:tcPr>
            <w:tcW w:w="1973" w:type="dxa"/>
            <w:vMerge w:val="restart"/>
            <w:tcBorders>
              <w:top w:val="single" w:sz="4" w:space="0" w:color="auto"/>
            </w:tcBorders>
          </w:tcPr>
          <w:p w14:paraId="463C38B8" w14:textId="5B1C1810" w:rsidR="002E79D3" w:rsidRPr="00417150" w:rsidRDefault="002E79D3" w:rsidP="00A96F5D">
            <w:pPr>
              <w:spacing w:before="120" w:after="120"/>
              <w:rPr>
                <w:b/>
              </w:rPr>
            </w:pPr>
            <w:r w:rsidRPr="00E90381">
              <w:rPr>
                <w:b/>
                <w:highlight w:val="yellow"/>
              </w:rPr>
              <w:t>??</w:t>
            </w:r>
            <w:r>
              <w:rPr>
                <w:b/>
                <w:highlight w:val="yellow"/>
              </w:rPr>
              <w:t>EXAMPLE_APP?</w:t>
            </w:r>
            <w:r w:rsidRPr="00E90381">
              <w:rPr>
                <w:b/>
                <w:highlight w:val="yellow"/>
              </w:rPr>
              <w:t>?</w:t>
            </w: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0F58CDFA" w14:textId="1A7B7701" w:rsidR="002E79D3" w:rsidRPr="00417150" w:rsidRDefault="002E79D3" w:rsidP="002E79D3">
            <w:pPr>
              <w:spacing w:before="120" w:after="120"/>
              <w:rPr>
                <w:b/>
              </w:rPr>
            </w:pPr>
            <w:r>
              <w:rPr>
                <w:b/>
                <w:highlight w:val="yellow"/>
              </w:rPr>
              <w:t>Do stuff w</w:t>
            </w:r>
            <w:r w:rsidRPr="00AF2340">
              <w:rPr>
                <w:b/>
                <w:highlight w:val="yellow"/>
              </w:rPr>
              <w:t xml:space="preserve">ith </w:t>
            </w:r>
            <w:r w:rsidRPr="00E90381">
              <w:rPr>
                <w:b/>
                <w:highlight w:val="yellow"/>
              </w:rPr>
              <w:t>??</w:t>
            </w:r>
            <w:r>
              <w:rPr>
                <w:b/>
                <w:highlight w:val="yellow"/>
              </w:rPr>
              <w:t>EXAMPLE_APP?</w:t>
            </w:r>
            <w:r w:rsidRPr="00E90381">
              <w:rPr>
                <w:b/>
                <w:highlight w:val="yellow"/>
              </w:rPr>
              <w:t>?</w:t>
            </w: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5CE2AF35" w14:textId="6B1DBACB" w:rsidR="002E79D3" w:rsidRPr="002F64BB" w:rsidRDefault="002E79D3" w:rsidP="00FC2E7E">
            <w:pPr>
              <w:spacing w:before="120" w:after="120"/>
            </w:pPr>
            <w:r w:rsidRPr="002F64BB">
              <w:t>Course-relate</w:t>
            </w:r>
            <w:r>
              <w:t xml:space="preserve">d applications are installed on </w:t>
            </w:r>
            <w:r w:rsidRPr="002F64BB">
              <w:t>powerful host devices running on-campus, and you use your local device to connect to and effectively</w:t>
            </w:r>
            <w:r>
              <w:t xml:space="preserve"> </w:t>
            </w:r>
            <w:r w:rsidRPr="002F64BB">
              <w:t>"</w:t>
            </w:r>
            <w:r w:rsidR="00FC2E7E">
              <w:t>take control" of a host device.</w:t>
            </w:r>
          </w:p>
        </w:tc>
      </w:tr>
      <w:tr w:rsidR="00FC2E7E" w14:paraId="60CD53A9" w14:textId="77777777" w:rsidTr="002E79D3">
        <w:trPr>
          <w:cantSplit/>
          <w:trHeight w:val="455"/>
        </w:trPr>
        <w:tc>
          <w:tcPr>
            <w:tcW w:w="1973" w:type="dxa"/>
            <w:vMerge/>
            <w:tcBorders>
              <w:top w:val="single" w:sz="4" w:space="0" w:color="auto"/>
            </w:tcBorders>
          </w:tcPr>
          <w:p w14:paraId="0AEFC6FB" w14:textId="77777777" w:rsidR="00FC2E7E" w:rsidRPr="00E90381" w:rsidRDefault="00FC2E7E" w:rsidP="00A96F5D">
            <w:pPr>
              <w:spacing w:before="120" w:after="120"/>
              <w:rPr>
                <w:b/>
                <w:highlight w:val="yellow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2BB14781" w14:textId="77777777" w:rsidR="00FC2E7E" w:rsidRDefault="00FC2E7E" w:rsidP="002E79D3">
            <w:pPr>
              <w:spacing w:before="120" w:after="120"/>
              <w:rPr>
                <w:b/>
                <w:highlight w:val="yellow"/>
              </w:rPr>
            </w:pP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4B10DBCE" w14:textId="4E1BEB12" w:rsidR="00FC2E7E" w:rsidRPr="002F64BB" w:rsidRDefault="00FC2E7E" w:rsidP="00FC2E7E">
            <w:pPr>
              <w:spacing w:before="120" w:after="120"/>
            </w:pPr>
            <w:r>
              <w:t xml:space="preserve">This gives you </w:t>
            </w:r>
            <w:r w:rsidRPr="002F64BB">
              <w:t xml:space="preserve">the same level of access </w:t>
            </w:r>
            <w:r>
              <w:t>to</w:t>
            </w:r>
            <w:r w:rsidRPr="002F64BB">
              <w:t xml:space="preserve"> applications you would receive</w:t>
            </w:r>
            <w:r>
              <w:t xml:space="preserve"> </w:t>
            </w:r>
            <w:r>
              <w:t xml:space="preserve">if you were </w:t>
            </w:r>
            <w:r w:rsidRPr="002F64BB">
              <w:t>sitting at and logged on to the host device in a UniSA computer pool or laboratory.</w:t>
            </w:r>
          </w:p>
        </w:tc>
      </w:tr>
      <w:tr w:rsidR="00C4763A" w14:paraId="59274095" w14:textId="77777777" w:rsidTr="002E79D3">
        <w:trPr>
          <w:cantSplit/>
          <w:trHeight w:val="455"/>
        </w:trPr>
        <w:tc>
          <w:tcPr>
            <w:tcW w:w="1973" w:type="dxa"/>
            <w:vMerge/>
            <w:tcBorders>
              <w:top w:val="single" w:sz="4" w:space="0" w:color="auto"/>
            </w:tcBorders>
          </w:tcPr>
          <w:p w14:paraId="7E84F3B1" w14:textId="77777777" w:rsidR="00C4763A" w:rsidRPr="00E90381" w:rsidRDefault="00C4763A" w:rsidP="00A96F5D">
            <w:pPr>
              <w:spacing w:before="120" w:after="120"/>
              <w:rPr>
                <w:b/>
                <w:highlight w:val="yellow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4D85BF6B" w14:textId="3FE6D92E" w:rsidR="00C4763A" w:rsidRDefault="00C4763A" w:rsidP="002E79D3">
            <w:pPr>
              <w:spacing w:before="120" w:after="12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File &gt; Save As &gt; USB</w:t>
            </w: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1F0D37ED" w14:textId="1B15F5DA" w:rsidR="00C4763A" w:rsidRPr="002F64BB" w:rsidRDefault="00E06F5C" w:rsidP="00E06F5C">
            <w:pPr>
              <w:spacing w:before="120" w:after="120"/>
            </w:pPr>
            <w:r>
              <w:t>It is important to note that a</w:t>
            </w:r>
            <w:r w:rsidR="00C4763A">
              <w:t xml:space="preserve">ll work must be saved on your local device or other local storage device </w:t>
            </w:r>
            <w:r w:rsidR="00C4763A">
              <w:t xml:space="preserve">such as a </w:t>
            </w:r>
            <w:r w:rsidR="00C4763A">
              <w:t>USB.</w:t>
            </w:r>
          </w:p>
        </w:tc>
      </w:tr>
      <w:tr w:rsidR="00AE2D7E" w14:paraId="0972E7E2" w14:textId="77777777" w:rsidTr="002E79D3">
        <w:trPr>
          <w:cantSplit/>
          <w:trHeight w:val="455"/>
        </w:trPr>
        <w:tc>
          <w:tcPr>
            <w:tcW w:w="1973" w:type="dxa"/>
            <w:vMerge/>
            <w:tcBorders>
              <w:top w:val="single" w:sz="4" w:space="0" w:color="auto"/>
            </w:tcBorders>
          </w:tcPr>
          <w:p w14:paraId="397FD0A4" w14:textId="77777777" w:rsidR="00AE2D7E" w:rsidRPr="00E90381" w:rsidRDefault="00AE2D7E" w:rsidP="00A96F5D">
            <w:pPr>
              <w:spacing w:before="120" w:after="120"/>
              <w:rPr>
                <w:b/>
                <w:highlight w:val="yellow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7773FA0B" w14:textId="77777777" w:rsidR="00AE2D7E" w:rsidRDefault="00AE2D7E" w:rsidP="002E79D3">
            <w:pPr>
              <w:spacing w:before="120" w:after="120"/>
              <w:rPr>
                <w:b/>
                <w:highlight w:val="yellow"/>
              </w:rPr>
            </w:pP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374C695D" w14:textId="56AE9518" w:rsidR="00AE2D7E" w:rsidRDefault="00AE2D7E" w:rsidP="00AE2D7E">
            <w:pPr>
              <w:spacing w:before="120" w:after="120"/>
            </w:pPr>
            <w:r>
              <w:t>Any files save</w:t>
            </w:r>
            <w:r>
              <w:t>d</w:t>
            </w:r>
            <w:r>
              <w:t xml:space="preserve"> to a virtual desktop </w:t>
            </w:r>
            <w:r>
              <w:t>are</w:t>
            </w:r>
            <w:r>
              <w:t xml:space="preserve"> deleted when the next user connects </w:t>
            </w:r>
            <w:r>
              <w:t>and cannot be recovered.</w:t>
            </w:r>
          </w:p>
        </w:tc>
      </w:tr>
      <w:tr w:rsidR="002E79D3" w14:paraId="598CFB4F" w14:textId="77777777" w:rsidTr="002E79D3">
        <w:trPr>
          <w:cantSplit/>
          <w:trHeight w:val="455"/>
        </w:trPr>
        <w:tc>
          <w:tcPr>
            <w:tcW w:w="1973" w:type="dxa"/>
            <w:vMerge/>
          </w:tcPr>
          <w:p w14:paraId="747FEBCE" w14:textId="77777777" w:rsidR="002E79D3" w:rsidRPr="00417150" w:rsidRDefault="002E79D3" w:rsidP="00A96F5D">
            <w:pPr>
              <w:spacing w:before="120" w:after="120"/>
              <w:rPr>
                <w:b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6A8636B1" w14:textId="77777777" w:rsidR="002E79D3" w:rsidRPr="00417150" w:rsidRDefault="002E79D3" w:rsidP="00A96F5D">
            <w:pPr>
              <w:spacing w:before="120" w:after="120"/>
              <w:rPr>
                <w:b/>
              </w:rPr>
            </w:pP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39ED240E" w14:textId="7D40C94E" w:rsidR="002E79D3" w:rsidRPr="002F64BB" w:rsidRDefault="00E06F5C" w:rsidP="00FC2E7E">
            <w:pPr>
              <w:spacing w:before="120" w:after="120"/>
            </w:pPr>
            <w:r>
              <w:t>T</w:t>
            </w:r>
            <w:r w:rsidR="002E79D3">
              <w:t xml:space="preserve">here is a limited number of virtual desktops within a VDI Pool, so please follow these simple protocols to maximise their </w:t>
            </w:r>
            <w:r w:rsidR="00C4763A">
              <w:t>availability:</w:t>
            </w:r>
          </w:p>
        </w:tc>
      </w:tr>
      <w:tr w:rsidR="002E79D3" w14:paraId="688B2C64" w14:textId="77777777" w:rsidTr="002E79D3">
        <w:trPr>
          <w:cantSplit/>
          <w:trHeight w:val="455"/>
        </w:trPr>
        <w:tc>
          <w:tcPr>
            <w:tcW w:w="1973" w:type="dxa"/>
            <w:vMerge/>
          </w:tcPr>
          <w:p w14:paraId="2BCE97C8" w14:textId="77777777" w:rsidR="002E79D3" w:rsidRPr="00417150" w:rsidRDefault="002E79D3" w:rsidP="00A96F5D">
            <w:pPr>
              <w:spacing w:before="120" w:after="120"/>
              <w:rPr>
                <w:b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2FA190F3" w14:textId="5573B5EA" w:rsidR="002E79D3" w:rsidRPr="00417150" w:rsidRDefault="002E79D3" w:rsidP="00A96F5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Close </w:t>
            </w:r>
            <w:r w:rsidRPr="002E79D3">
              <w:rPr>
                <w:b/>
                <w:highlight w:val="yellow"/>
              </w:rPr>
              <w:t>??EXAMPLE_APP??</w:t>
            </w: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64428F95" w14:textId="0080332C" w:rsidR="002E79D3" w:rsidRDefault="002E79D3" w:rsidP="00C4763A">
            <w:pPr>
              <w:spacing w:before="120" w:after="120"/>
            </w:pPr>
            <w:r>
              <w:t>…only connect to a virtual desktop to access applications not installed on your current device;</w:t>
            </w:r>
          </w:p>
        </w:tc>
      </w:tr>
      <w:tr w:rsidR="0069708D" w14:paraId="30A745C5" w14:textId="77777777" w:rsidTr="002E79D3">
        <w:trPr>
          <w:cantSplit/>
          <w:trHeight w:val="455"/>
        </w:trPr>
        <w:tc>
          <w:tcPr>
            <w:tcW w:w="1973" w:type="dxa"/>
            <w:tcBorders>
              <w:top w:val="single" w:sz="4" w:space="0" w:color="auto"/>
            </w:tcBorders>
          </w:tcPr>
          <w:p w14:paraId="02FDEAFF" w14:textId="7DC525F7" w:rsidR="0069708D" w:rsidRPr="00417150" w:rsidRDefault="002E79D3" w:rsidP="00A96F5D">
            <w:pPr>
              <w:spacing w:before="120" w:after="120"/>
              <w:rPr>
                <w:b/>
              </w:rPr>
            </w:pPr>
            <w:r>
              <w:rPr>
                <w:b/>
              </w:rPr>
              <w:t>VDI Desktop</w:t>
            </w: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622CE7EA" w14:textId="7E7EE292" w:rsidR="0069708D" w:rsidRPr="00417150" w:rsidRDefault="00694E5D" w:rsidP="00A96F5D">
            <w:pPr>
              <w:spacing w:before="120" w:after="120"/>
              <w:rPr>
                <w:b/>
              </w:rPr>
            </w:pPr>
            <w:r>
              <w:rPr>
                <w:b/>
              </w:rPr>
              <w:t>Disconnect from the VDI</w:t>
            </w: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6FC9ED73" w14:textId="514152C9" w:rsidR="0069708D" w:rsidRPr="002F64BB" w:rsidRDefault="006F00DA" w:rsidP="008B5F35">
            <w:pPr>
              <w:spacing w:before="120" w:after="120"/>
            </w:pPr>
            <w:r>
              <w:t>…</w:t>
            </w:r>
            <w:r w:rsidR="00B63A5A">
              <w:t xml:space="preserve">immediately disconnect from the virtual desktop </w:t>
            </w:r>
            <w:r>
              <w:t>w</w:t>
            </w:r>
            <w:r w:rsidRPr="00721AC4">
              <w:t>hen</w:t>
            </w:r>
            <w:r>
              <w:t xml:space="preserve"> you have finished using </w:t>
            </w:r>
            <w:r w:rsidR="008B5F35">
              <w:t xml:space="preserve">the </w:t>
            </w:r>
            <w:r>
              <w:t xml:space="preserve">applications </w:t>
            </w:r>
            <w:r w:rsidR="008B5F35">
              <w:t>not installed on your device</w:t>
            </w:r>
            <w:r>
              <w:t>.</w:t>
            </w:r>
          </w:p>
        </w:tc>
      </w:tr>
      <w:tr w:rsidR="002E79D3" w14:paraId="34E86919" w14:textId="77777777" w:rsidTr="00A27605">
        <w:trPr>
          <w:cantSplit/>
          <w:trHeight w:val="455"/>
        </w:trPr>
        <w:tc>
          <w:tcPr>
            <w:tcW w:w="1417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F15220" w14:textId="53154336" w:rsidR="002E79D3" w:rsidRDefault="002E79D3" w:rsidP="002E79D3">
            <w:pPr>
              <w:spacing w:before="120" w:after="120"/>
            </w:pPr>
            <w:r w:rsidRPr="000A4D82">
              <w:rPr>
                <w:b/>
                <w:color w:val="984806" w:themeColor="accent6" w:themeShade="80"/>
              </w:rPr>
              <w:t>Transition</w:t>
            </w:r>
            <w:r>
              <w:rPr>
                <w:b/>
                <w:color w:val="984806" w:themeColor="accent6" w:themeShade="80"/>
              </w:rPr>
              <w:t xml:space="preserve"> to </w:t>
            </w:r>
            <w:r>
              <w:rPr>
                <w:b/>
                <w:color w:val="984806" w:themeColor="accent6" w:themeShade="80"/>
              </w:rPr>
              <w:t>WMware View Client (error message – no desktops available)</w:t>
            </w:r>
          </w:p>
        </w:tc>
      </w:tr>
      <w:tr w:rsidR="0069708D" w14:paraId="2941CBCF" w14:textId="77777777" w:rsidTr="002E79D3">
        <w:trPr>
          <w:cantSplit/>
          <w:trHeight w:val="455"/>
        </w:trPr>
        <w:tc>
          <w:tcPr>
            <w:tcW w:w="1973" w:type="dxa"/>
            <w:tcBorders>
              <w:top w:val="single" w:sz="4" w:space="0" w:color="auto"/>
            </w:tcBorders>
          </w:tcPr>
          <w:p w14:paraId="0F76E4CA" w14:textId="67F4D683" w:rsidR="0069708D" w:rsidRPr="00417150" w:rsidRDefault="0003512B" w:rsidP="0003512B">
            <w:pPr>
              <w:spacing w:before="120" w:after="120"/>
              <w:rPr>
                <w:b/>
              </w:rPr>
            </w:pPr>
            <w:r>
              <w:rPr>
                <w:b/>
              </w:rPr>
              <w:t>VMware</w:t>
            </w:r>
            <w:r>
              <w:rPr>
                <w:b/>
              </w:rPr>
              <w:br/>
              <w:t>(no desktops message)</w:t>
            </w: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5F33C73D" w14:textId="1F890E43" w:rsidR="0069708D" w:rsidRPr="00417150" w:rsidRDefault="0003512B" w:rsidP="0003512B">
            <w:pPr>
              <w:spacing w:before="120" w:after="120"/>
              <w:rPr>
                <w:b/>
              </w:rPr>
            </w:pPr>
            <w:r>
              <w:rPr>
                <w:b/>
                <w:color w:val="984806" w:themeColor="accent6" w:themeShade="80"/>
              </w:rPr>
              <w:t xml:space="preserve">highlight </w:t>
            </w:r>
            <w:r>
              <w:rPr>
                <w:b/>
                <w:color w:val="984806" w:themeColor="accent6" w:themeShade="80"/>
              </w:rPr>
              <w:t>No Desktops Available message</w:t>
            </w:r>
          </w:p>
        </w:tc>
        <w:tc>
          <w:tcPr>
            <w:tcW w:w="8821" w:type="dxa"/>
            <w:tcBorders>
              <w:top w:val="single" w:sz="4" w:space="0" w:color="auto"/>
            </w:tcBorders>
            <w:shd w:val="clear" w:color="auto" w:fill="auto"/>
          </w:tcPr>
          <w:p w14:paraId="606F4F4B" w14:textId="112AA40B" w:rsidR="0069708D" w:rsidRPr="002F64BB" w:rsidRDefault="006F00DA" w:rsidP="008B5F35">
            <w:pPr>
              <w:spacing w:before="120" w:after="120"/>
            </w:pPr>
            <w:r>
              <w:t>If all virtual desktops within your VDI Pool are in use</w:t>
            </w:r>
            <w:r w:rsidR="008B5F35">
              <w:t>, you will not be able to connect until one of the current users disconnects.</w:t>
            </w:r>
          </w:p>
        </w:tc>
      </w:tr>
      <w:tr w:rsidR="0069708D" w14:paraId="6D0DF655" w14:textId="77777777" w:rsidTr="003D6A3C">
        <w:trPr>
          <w:cantSplit/>
          <w:trHeight w:val="455"/>
        </w:trPr>
        <w:tc>
          <w:tcPr>
            <w:tcW w:w="1417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01AB1B" w14:textId="77777777" w:rsidR="0069708D" w:rsidRDefault="0069708D" w:rsidP="003D6A3C">
            <w:pPr>
              <w:spacing w:before="120" w:after="120"/>
            </w:pPr>
            <w:r w:rsidRPr="000A4D82">
              <w:rPr>
                <w:b/>
                <w:color w:val="984806" w:themeColor="accent6" w:themeShade="80"/>
              </w:rPr>
              <w:t>Transition</w:t>
            </w:r>
            <w:r>
              <w:rPr>
                <w:b/>
                <w:color w:val="984806" w:themeColor="accent6" w:themeShade="80"/>
              </w:rPr>
              <w:t xml:space="preserve"> to VDI Support</w:t>
            </w:r>
          </w:p>
        </w:tc>
      </w:tr>
      <w:tr w:rsidR="0003512B" w14:paraId="40AA9EA2" w14:textId="77777777" w:rsidTr="002E79D3">
        <w:trPr>
          <w:cantSplit/>
        </w:trPr>
        <w:tc>
          <w:tcPr>
            <w:tcW w:w="1973" w:type="dxa"/>
            <w:vMerge w:val="restart"/>
          </w:tcPr>
          <w:p w14:paraId="4BB01EAD" w14:textId="77777777" w:rsidR="0003512B" w:rsidRDefault="0003512B" w:rsidP="003D6A3C">
            <w:pPr>
              <w:spacing w:before="120" w:after="120"/>
              <w:rPr>
                <w:b/>
              </w:rPr>
            </w:pPr>
            <w:r>
              <w:rPr>
                <w:b/>
              </w:rPr>
              <w:t>VDI Support</w:t>
            </w:r>
          </w:p>
        </w:tc>
        <w:tc>
          <w:tcPr>
            <w:tcW w:w="3381" w:type="dxa"/>
          </w:tcPr>
          <w:p w14:paraId="3E95C02B" w14:textId="4061E19E" w:rsidR="0003512B" w:rsidRDefault="0003512B" w:rsidP="007659DE">
            <w:pPr>
              <w:spacing w:before="120" w:after="120"/>
              <w:rPr>
                <w:b/>
              </w:rPr>
            </w:pPr>
            <w:r>
              <w:rPr>
                <w:b/>
                <w:color w:val="984806" w:themeColor="accent6" w:themeShade="80"/>
              </w:rPr>
              <w:t>Zoom/highlight VDI Support</w:t>
            </w:r>
          </w:p>
        </w:tc>
        <w:tc>
          <w:tcPr>
            <w:tcW w:w="8821" w:type="dxa"/>
          </w:tcPr>
          <w:p w14:paraId="11FA0BFD" w14:textId="3ECAA7DE" w:rsidR="0003512B" w:rsidRDefault="0003512B" w:rsidP="007659DE">
            <w:pPr>
              <w:spacing w:before="120" w:after="120"/>
            </w:pPr>
            <w:r>
              <w:t>For further information and support,</w:t>
            </w:r>
          </w:p>
        </w:tc>
      </w:tr>
      <w:tr w:rsidR="0003512B" w14:paraId="04DBE0C0" w14:textId="77777777" w:rsidTr="002E79D3">
        <w:trPr>
          <w:cantSplit/>
        </w:trPr>
        <w:tc>
          <w:tcPr>
            <w:tcW w:w="1973" w:type="dxa"/>
            <w:vMerge/>
          </w:tcPr>
          <w:p w14:paraId="70C569E3" w14:textId="77777777" w:rsidR="0003512B" w:rsidRDefault="0003512B" w:rsidP="003D6A3C">
            <w:pPr>
              <w:spacing w:before="120" w:after="120"/>
              <w:rPr>
                <w:b/>
              </w:rPr>
            </w:pPr>
          </w:p>
        </w:tc>
        <w:tc>
          <w:tcPr>
            <w:tcW w:w="3381" w:type="dxa"/>
          </w:tcPr>
          <w:p w14:paraId="607C1549" w14:textId="38F876CA" w:rsidR="0003512B" w:rsidRDefault="0003512B" w:rsidP="007659DE">
            <w:pPr>
              <w:spacing w:before="120" w:after="120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highlight </w:t>
            </w:r>
            <w:r>
              <w:rPr>
                <w:b/>
                <w:color w:val="984806" w:themeColor="accent6" w:themeShade="80"/>
              </w:rPr>
              <w:t xml:space="preserve">Install VDI </w:t>
            </w:r>
            <w:r w:rsidR="00C4763A">
              <w:rPr>
                <w:b/>
                <w:color w:val="984806" w:themeColor="accent6" w:themeShade="80"/>
              </w:rPr>
              <w:t>Client</w:t>
            </w:r>
            <w:r>
              <w:rPr>
                <w:b/>
                <w:color w:val="984806" w:themeColor="accent6" w:themeShade="80"/>
              </w:rPr>
              <w:t xml:space="preserve"> topic</w:t>
            </w:r>
          </w:p>
        </w:tc>
        <w:tc>
          <w:tcPr>
            <w:tcW w:w="8821" w:type="dxa"/>
          </w:tcPr>
          <w:p w14:paraId="13497A0C" w14:textId="4304DE93" w:rsidR="0003512B" w:rsidRDefault="0003512B" w:rsidP="007659DE">
            <w:pPr>
              <w:spacing w:before="120" w:after="120"/>
            </w:pPr>
            <w:r>
              <w:t>…</w:t>
            </w:r>
            <w:r>
              <w:t>or to install the VDI Client</w:t>
            </w:r>
            <w:r>
              <w:t>,</w:t>
            </w:r>
          </w:p>
        </w:tc>
      </w:tr>
      <w:tr w:rsidR="0003512B" w14:paraId="5D45ED76" w14:textId="77777777" w:rsidTr="002E79D3">
        <w:trPr>
          <w:cantSplit/>
        </w:trPr>
        <w:tc>
          <w:tcPr>
            <w:tcW w:w="1973" w:type="dxa"/>
            <w:vMerge/>
          </w:tcPr>
          <w:p w14:paraId="6C948FC1" w14:textId="77777777" w:rsidR="0003512B" w:rsidRDefault="0003512B" w:rsidP="003D6A3C">
            <w:pPr>
              <w:spacing w:before="120" w:after="120"/>
              <w:rPr>
                <w:b/>
              </w:rPr>
            </w:pPr>
          </w:p>
        </w:tc>
        <w:tc>
          <w:tcPr>
            <w:tcW w:w="3381" w:type="dxa"/>
            <w:vMerge w:val="restart"/>
          </w:tcPr>
          <w:p w14:paraId="1A5BD654" w14:textId="00C7815D" w:rsidR="0003512B" w:rsidRDefault="0003512B" w:rsidP="00CA12D7">
            <w:pPr>
              <w:spacing w:before="120" w:after="120"/>
              <w:rPr>
                <w:b/>
              </w:rPr>
            </w:pPr>
          </w:p>
        </w:tc>
        <w:tc>
          <w:tcPr>
            <w:tcW w:w="8821" w:type="dxa"/>
          </w:tcPr>
          <w:p w14:paraId="503A07B1" w14:textId="23C9F8E6" w:rsidR="0003512B" w:rsidRDefault="00FC2E7E" w:rsidP="0003512B">
            <w:pPr>
              <w:spacing w:before="120" w:after="120"/>
            </w:pPr>
            <w:r>
              <w:t>…</w:t>
            </w:r>
            <w:r w:rsidR="0003512B">
              <w:t>please refer to the V</w:t>
            </w:r>
            <w:r w:rsidR="0003512B">
              <w:t xml:space="preserve">irtual Desktop Infrastructure </w:t>
            </w:r>
            <w:r w:rsidR="0003512B">
              <w:t xml:space="preserve">Support </w:t>
            </w:r>
            <w:r w:rsidR="0003512B">
              <w:t>s</w:t>
            </w:r>
            <w:r w:rsidR="0003512B">
              <w:t>ite.</w:t>
            </w:r>
          </w:p>
        </w:tc>
      </w:tr>
      <w:tr w:rsidR="0003512B" w14:paraId="5F59D00E" w14:textId="77777777" w:rsidTr="002E79D3">
        <w:trPr>
          <w:cantSplit/>
        </w:trPr>
        <w:tc>
          <w:tcPr>
            <w:tcW w:w="1973" w:type="dxa"/>
            <w:vMerge/>
          </w:tcPr>
          <w:p w14:paraId="405E28CF" w14:textId="77777777" w:rsidR="0003512B" w:rsidRDefault="0003512B" w:rsidP="003D6A3C">
            <w:pPr>
              <w:spacing w:before="120" w:after="120"/>
              <w:rPr>
                <w:b/>
              </w:rPr>
            </w:pPr>
          </w:p>
        </w:tc>
        <w:tc>
          <w:tcPr>
            <w:tcW w:w="3381" w:type="dxa"/>
            <w:vMerge/>
          </w:tcPr>
          <w:p w14:paraId="775050EE" w14:textId="77777777" w:rsidR="0003512B" w:rsidRDefault="0003512B" w:rsidP="00CA12D7">
            <w:pPr>
              <w:spacing w:before="120" w:after="120"/>
              <w:rPr>
                <w:b/>
              </w:rPr>
            </w:pPr>
          </w:p>
        </w:tc>
        <w:tc>
          <w:tcPr>
            <w:tcW w:w="8821" w:type="dxa"/>
          </w:tcPr>
          <w:p w14:paraId="5F3DC274" w14:textId="138F82DA" w:rsidR="0003512B" w:rsidRDefault="0003512B" w:rsidP="0003512B">
            <w:pPr>
              <w:spacing w:before="120" w:after="120"/>
            </w:pPr>
            <w:r>
              <w:t>Thanks for watching.</w:t>
            </w:r>
          </w:p>
        </w:tc>
      </w:tr>
    </w:tbl>
    <w:p w14:paraId="7104D429" w14:textId="287B4BBC" w:rsidR="00237C3A" w:rsidRDefault="00237C3A"/>
    <w:sectPr w:rsidR="00237C3A" w:rsidSect="00E06F5C">
      <w:headerReference w:type="default" r:id="rId11"/>
      <w:pgSz w:w="16838" w:h="11906" w:orient="landscape"/>
      <w:pgMar w:top="1134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54EB5" w14:textId="77777777" w:rsidR="00EA7D00" w:rsidRDefault="00EA7D00" w:rsidP="006C53BE">
      <w:pPr>
        <w:spacing w:after="0" w:line="240" w:lineRule="auto"/>
      </w:pPr>
      <w:r>
        <w:separator/>
      </w:r>
    </w:p>
  </w:endnote>
  <w:endnote w:type="continuationSeparator" w:id="0">
    <w:p w14:paraId="15C764B9" w14:textId="77777777" w:rsidR="00EA7D00" w:rsidRDefault="00EA7D00" w:rsidP="006C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5743B" w14:textId="77777777" w:rsidR="00EA7D00" w:rsidRDefault="00EA7D00" w:rsidP="006C53BE">
      <w:pPr>
        <w:spacing w:after="0" w:line="240" w:lineRule="auto"/>
      </w:pPr>
      <w:r>
        <w:separator/>
      </w:r>
    </w:p>
  </w:footnote>
  <w:footnote w:type="continuationSeparator" w:id="0">
    <w:p w14:paraId="6EFD0930" w14:textId="77777777" w:rsidR="00EA7D00" w:rsidRDefault="00EA7D00" w:rsidP="006C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BB665" w14:textId="08AFA007" w:rsidR="006C53BE" w:rsidRPr="006C53BE" w:rsidRDefault="006C53BE" w:rsidP="006C53BE">
    <w:pPr>
      <w:pStyle w:val="Header"/>
      <w:jc w:val="center"/>
      <w:rPr>
        <w:b/>
        <w:sz w:val="20"/>
        <w:szCs w:val="20"/>
      </w:rPr>
    </w:pPr>
    <w:r w:rsidRPr="006C53BE">
      <w:rPr>
        <w:b/>
        <w:sz w:val="20"/>
        <w:szCs w:val="20"/>
      </w:rPr>
      <w:t>Online Training Script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6DF"/>
    <w:multiLevelType w:val="hybridMultilevel"/>
    <w:tmpl w:val="D51AC178"/>
    <w:lvl w:ilvl="0" w:tplc="A87AE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21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DC7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4A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89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89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47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625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2D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D73DB3"/>
    <w:multiLevelType w:val="multilevel"/>
    <w:tmpl w:val="5C3C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3A"/>
    <w:rsid w:val="000048B4"/>
    <w:rsid w:val="00004E99"/>
    <w:rsid w:val="0003512B"/>
    <w:rsid w:val="000361EC"/>
    <w:rsid w:val="000404F0"/>
    <w:rsid w:val="0006100D"/>
    <w:rsid w:val="000649FC"/>
    <w:rsid w:val="0008506D"/>
    <w:rsid w:val="000A4D82"/>
    <w:rsid w:val="000C2C6D"/>
    <w:rsid w:val="000C4F45"/>
    <w:rsid w:val="000E3B26"/>
    <w:rsid w:val="001041DC"/>
    <w:rsid w:val="0011369B"/>
    <w:rsid w:val="001323CF"/>
    <w:rsid w:val="0014105C"/>
    <w:rsid w:val="0014764E"/>
    <w:rsid w:val="00157EA0"/>
    <w:rsid w:val="001A05F6"/>
    <w:rsid w:val="001B122C"/>
    <w:rsid w:val="001B17EF"/>
    <w:rsid w:val="002037F6"/>
    <w:rsid w:val="002258D6"/>
    <w:rsid w:val="00237C3A"/>
    <w:rsid w:val="00274AE2"/>
    <w:rsid w:val="00291536"/>
    <w:rsid w:val="002C5390"/>
    <w:rsid w:val="002D23A1"/>
    <w:rsid w:val="002E2B7F"/>
    <w:rsid w:val="002E79D3"/>
    <w:rsid w:val="002F1CBA"/>
    <w:rsid w:val="002F64BB"/>
    <w:rsid w:val="002F6939"/>
    <w:rsid w:val="00302B80"/>
    <w:rsid w:val="00303485"/>
    <w:rsid w:val="00322288"/>
    <w:rsid w:val="00334053"/>
    <w:rsid w:val="003803DC"/>
    <w:rsid w:val="00382146"/>
    <w:rsid w:val="003D11A2"/>
    <w:rsid w:val="00405C2C"/>
    <w:rsid w:val="004071A4"/>
    <w:rsid w:val="00417150"/>
    <w:rsid w:val="00443A7F"/>
    <w:rsid w:val="00452D86"/>
    <w:rsid w:val="004532BD"/>
    <w:rsid w:val="00495D7E"/>
    <w:rsid w:val="004D7F74"/>
    <w:rsid w:val="00516B28"/>
    <w:rsid w:val="00520322"/>
    <w:rsid w:val="00526330"/>
    <w:rsid w:val="00533B5C"/>
    <w:rsid w:val="00536BE7"/>
    <w:rsid w:val="00550390"/>
    <w:rsid w:val="00555E1A"/>
    <w:rsid w:val="0056441C"/>
    <w:rsid w:val="005A32C9"/>
    <w:rsid w:val="005D667F"/>
    <w:rsid w:val="00622738"/>
    <w:rsid w:val="00634B88"/>
    <w:rsid w:val="00674D07"/>
    <w:rsid w:val="00675846"/>
    <w:rsid w:val="00692793"/>
    <w:rsid w:val="00694E5D"/>
    <w:rsid w:val="0069708D"/>
    <w:rsid w:val="006A0C88"/>
    <w:rsid w:val="006A61CF"/>
    <w:rsid w:val="006A6CA5"/>
    <w:rsid w:val="006C53BE"/>
    <w:rsid w:val="006D46E2"/>
    <w:rsid w:val="006D78DC"/>
    <w:rsid w:val="006F00DA"/>
    <w:rsid w:val="006F06BA"/>
    <w:rsid w:val="007026CF"/>
    <w:rsid w:val="00721AC4"/>
    <w:rsid w:val="00761096"/>
    <w:rsid w:val="007659DE"/>
    <w:rsid w:val="00766BD8"/>
    <w:rsid w:val="0077684C"/>
    <w:rsid w:val="00783B61"/>
    <w:rsid w:val="007A3A83"/>
    <w:rsid w:val="007B4BE9"/>
    <w:rsid w:val="007E006F"/>
    <w:rsid w:val="007E48BF"/>
    <w:rsid w:val="00817DB1"/>
    <w:rsid w:val="008203BC"/>
    <w:rsid w:val="0082428B"/>
    <w:rsid w:val="00844FB0"/>
    <w:rsid w:val="00853DE9"/>
    <w:rsid w:val="00875C07"/>
    <w:rsid w:val="00876358"/>
    <w:rsid w:val="00885F70"/>
    <w:rsid w:val="00894AEB"/>
    <w:rsid w:val="008B5F35"/>
    <w:rsid w:val="008B6495"/>
    <w:rsid w:val="008B7171"/>
    <w:rsid w:val="008B719A"/>
    <w:rsid w:val="008D58A6"/>
    <w:rsid w:val="008D63A3"/>
    <w:rsid w:val="008E25F1"/>
    <w:rsid w:val="008E3799"/>
    <w:rsid w:val="008E45E5"/>
    <w:rsid w:val="008F4B4B"/>
    <w:rsid w:val="00904E0D"/>
    <w:rsid w:val="00917AA0"/>
    <w:rsid w:val="0097712C"/>
    <w:rsid w:val="00983F29"/>
    <w:rsid w:val="00996F7D"/>
    <w:rsid w:val="009B1E96"/>
    <w:rsid w:val="009E20EE"/>
    <w:rsid w:val="00A03771"/>
    <w:rsid w:val="00A169ED"/>
    <w:rsid w:val="00A178D7"/>
    <w:rsid w:val="00A23B17"/>
    <w:rsid w:val="00A339B3"/>
    <w:rsid w:val="00A34956"/>
    <w:rsid w:val="00A85D93"/>
    <w:rsid w:val="00AA2314"/>
    <w:rsid w:val="00AB58A6"/>
    <w:rsid w:val="00AE2D7E"/>
    <w:rsid w:val="00AF2340"/>
    <w:rsid w:val="00B07B73"/>
    <w:rsid w:val="00B375C6"/>
    <w:rsid w:val="00B63A5A"/>
    <w:rsid w:val="00BB5EB7"/>
    <w:rsid w:val="00BC786C"/>
    <w:rsid w:val="00BE24E9"/>
    <w:rsid w:val="00C42CAC"/>
    <w:rsid w:val="00C4763A"/>
    <w:rsid w:val="00C9789E"/>
    <w:rsid w:val="00CA12D7"/>
    <w:rsid w:val="00CB48FC"/>
    <w:rsid w:val="00CB5A9B"/>
    <w:rsid w:val="00CF00CD"/>
    <w:rsid w:val="00D0509D"/>
    <w:rsid w:val="00D1752F"/>
    <w:rsid w:val="00D33869"/>
    <w:rsid w:val="00D351E8"/>
    <w:rsid w:val="00D94A45"/>
    <w:rsid w:val="00DA5F68"/>
    <w:rsid w:val="00DC5B90"/>
    <w:rsid w:val="00DF6B20"/>
    <w:rsid w:val="00E062B2"/>
    <w:rsid w:val="00E06F5C"/>
    <w:rsid w:val="00E202F6"/>
    <w:rsid w:val="00E45320"/>
    <w:rsid w:val="00E67BBF"/>
    <w:rsid w:val="00E81BBD"/>
    <w:rsid w:val="00E90381"/>
    <w:rsid w:val="00E936F2"/>
    <w:rsid w:val="00EA2680"/>
    <w:rsid w:val="00EA743D"/>
    <w:rsid w:val="00EA78E0"/>
    <w:rsid w:val="00EA7D00"/>
    <w:rsid w:val="00EC2966"/>
    <w:rsid w:val="00EF54A1"/>
    <w:rsid w:val="00F02BE2"/>
    <w:rsid w:val="00F105E7"/>
    <w:rsid w:val="00F255CA"/>
    <w:rsid w:val="00F6420F"/>
    <w:rsid w:val="00F648C6"/>
    <w:rsid w:val="00F75FF5"/>
    <w:rsid w:val="00F80A21"/>
    <w:rsid w:val="00F9405B"/>
    <w:rsid w:val="00F9759D"/>
    <w:rsid w:val="00FC2E7E"/>
    <w:rsid w:val="00FD43A4"/>
    <w:rsid w:val="00F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D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A0C88"/>
    <w:pPr>
      <w:keepNext/>
      <w:spacing w:before="240" w:after="60" w:line="240" w:lineRule="auto"/>
      <w:outlineLvl w:val="1"/>
    </w:pPr>
    <w:rPr>
      <w:rFonts w:ascii="Gill Sans MT" w:eastAsia="Times New Roman" w:hAnsi="Gill Sans MT" w:cs="Arial"/>
      <w:b/>
      <w:bCs/>
      <w:iCs/>
      <w:sz w:val="2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17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1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5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3BE"/>
  </w:style>
  <w:style w:type="paragraph" w:styleId="Footer">
    <w:name w:val="footer"/>
    <w:basedOn w:val="Normal"/>
    <w:link w:val="FooterChar"/>
    <w:uiPriority w:val="99"/>
    <w:unhideWhenUsed/>
    <w:rsid w:val="006C5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3BE"/>
  </w:style>
  <w:style w:type="paragraph" w:customStyle="1" w:styleId="FieldActionInstruction">
    <w:name w:val="Field/Action Instruction"/>
    <w:basedOn w:val="Normal"/>
    <w:rsid w:val="000A4D82"/>
    <w:pPr>
      <w:spacing w:before="120" w:after="120" w:line="240" w:lineRule="auto"/>
      <w:ind w:left="2880" w:hanging="2160"/>
    </w:pPr>
    <w:rPr>
      <w:rFonts w:ascii="Gill Sans MT" w:eastAsia="Times New Roman" w:hAnsi="Gill Sans MT" w:cs="Times New Roman"/>
      <w:b/>
      <w:sz w:val="2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A0C88"/>
    <w:rPr>
      <w:rFonts w:ascii="Gill Sans MT" w:eastAsia="Times New Roman" w:hAnsi="Gill Sans MT" w:cs="Arial"/>
      <w:b/>
      <w:bCs/>
      <w:iCs/>
      <w:sz w:val="26"/>
      <w:szCs w:val="28"/>
      <w:lang w:eastAsia="en-US"/>
    </w:rPr>
  </w:style>
  <w:style w:type="character" w:styleId="Emphasis">
    <w:name w:val="Emphasis"/>
    <w:basedOn w:val="DefaultParagraphFont"/>
    <w:uiPriority w:val="20"/>
    <w:qFormat/>
    <w:rsid w:val="002F64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A0C88"/>
    <w:pPr>
      <w:keepNext/>
      <w:spacing w:before="240" w:after="60" w:line="240" w:lineRule="auto"/>
      <w:outlineLvl w:val="1"/>
    </w:pPr>
    <w:rPr>
      <w:rFonts w:ascii="Gill Sans MT" w:eastAsia="Times New Roman" w:hAnsi="Gill Sans MT" w:cs="Arial"/>
      <w:b/>
      <w:bCs/>
      <w:iCs/>
      <w:sz w:val="2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17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1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5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3BE"/>
  </w:style>
  <w:style w:type="paragraph" w:styleId="Footer">
    <w:name w:val="footer"/>
    <w:basedOn w:val="Normal"/>
    <w:link w:val="FooterChar"/>
    <w:uiPriority w:val="99"/>
    <w:unhideWhenUsed/>
    <w:rsid w:val="006C5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3BE"/>
  </w:style>
  <w:style w:type="paragraph" w:customStyle="1" w:styleId="FieldActionInstruction">
    <w:name w:val="Field/Action Instruction"/>
    <w:basedOn w:val="Normal"/>
    <w:rsid w:val="000A4D82"/>
    <w:pPr>
      <w:spacing w:before="120" w:after="120" w:line="240" w:lineRule="auto"/>
      <w:ind w:left="2880" w:hanging="2160"/>
    </w:pPr>
    <w:rPr>
      <w:rFonts w:ascii="Gill Sans MT" w:eastAsia="Times New Roman" w:hAnsi="Gill Sans MT" w:cs="Times New Roman"/>
      <w:b/>
      <w:sz w:val="2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A0C88"/>
    <w:rPr>
      <w:rFonts w:ascii="Gill Sans MT" w:eastAsia="Times New Roman" w:hAnsi="Gill Sans MT" w:cs="Arial"/>
      <w:b/>
      <w:bCs/>
      <w:iCs/>
      <w:sz w:val="26"/>
      <w:szCs w:val="28"/>
      <w:lang w:eastAsia="en-US"/>
    </w:rPr>
  </w:style>
  <w:style w:type="character" w:styleId="Emphasis">
    <w:name w:val="Emphasis"/>
    <w:basedOn w:val="DefaultParagraphFont"/>
    <w:uiPriority w:val="20"/>
    <w:qFormat/>
    <w:rsid w:val="002F64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7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30" w:color="000000"/>
                <w:right w:val="single" w:sz="2" w:space="0" w:color="000000"/>
              </w:divBdr>
              <w:divsChild>
                <w:div w:id="15423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5276">
          <w:marLeft w:val="108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222">
          <w:marLeft w:val="108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2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30" w:color="000000"/>
                <w:right w:val="single" w:sz="2" w:space="0" w:color="000000"/>
              </w:divBdr>
              <w:divsChild>
                <w:div w:id="196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6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30" w:color="000000"/>
                <w:right w:val="single" w:sz="2" w:space="0" w:color="000000"/>
              </w:divBdr>
              <w:divsChild>
                <w:div w:id="15634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9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2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74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30" w:color="000000"/>
                <w:right w:val="single" w:sz="2" w:space="0" w:color="000000"/>
              </w:divBdr>
              <w:divsChild>
                <w:div w:id="956181206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78D5B25E346458A0476EC57875F20" ma:contentTypeVersion="0" ma:contentTypeDescription="Create a new document." ma:contentTypeScope="" ma:versionID="6cb1b46cbdddef533b6563d2bb437b7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869CC8B-6A07-44FE-B92C-16B2ABB35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73F64C-62FB-4D7B-806C-DC31FC1A7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F3909-35E4-42FE-B9D7-A1F1126F0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16</cp:revision>
  <cp:lastPrinted>2011-05-20T06:43:00Z</cp:lastPrinted>
  <dcterms:created xsi:type="dcterms:W3CDTF">2012-08-10T01:13:00Z</dcterms:created>
  <dcterms:modified xsi:type="dcterms:W3CDTF">2012-08-10T03:44:00Z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0x010100D8B78D5B25E346458A0476EC57875F20</vt:lpwstr>
  </property>
</Properties>
</file>