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F9" w:rsidRPr="007743F9" w:rsidRDefault="007743F9" w:rsidP="007743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7743F9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Bloom identified six cognitive levels of thinking that can be applied to the process of learning, revised by Anderson and </w:t>
      </w:r>
      <w:proofErr w:type="spellStart"/>
      <w:r w:rsidRPr="007743F9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Krathwohl</w:t>
      </w:r>
      <w:proofErr w:type="spellEnd"/>
      <w:r w:rsidRPr="007743F9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 (2001). Different assessment tasks can be used to assess each level of learning.</w:t>
      </w:r>
    </w:p>
    <w:tbl>
      <w:tblPr>
        <w:tblW w:w="0" w:type="auto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972"/>
        <w:gridCol w:w="3054"/>
      </w:tblGrid>
      <w:tr w:rsidR="007743F9" w:rsidRPr="007743F9" w:rsidTr="007743F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743F9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Table 1: Assessment Tasks with Bloom's Revised Taxonomy (adapted from Anderson &amp; </w:t>
            </w:r>
            <w:proofErr w:type="spellStart"/>
            <w:r w:rsidRPr="007743F9">
              <w:rPr>
                <w:rFonts w:ascii="Arial" w:eastAsia="Times New Roman" w:hAnsi="Arial" w:cs="Arial"/>
                <w:b/>
                <w:bCs/>
                <w:lang w:eastAsia="en-AU"/>
              </w:rPr>
              <w:t>Krathwohl</w:t>
            </w:r>
            <w:proofErr w:type="spellEnd"/>
            <w:r w:rsidRPr="007743F9">
              <w:rPr>
                <w:rFonts w:ascii="Arial" w:eastAsia="Times New Roman" w:hAnsi="Arial" w:cs="Arial"/>
                <w:b/>
                <w:bCs/>
                <w:lang w:eastAsia="en-AU"/>
              </w:rPr>
              <w:t>, 2001)</w:t>
            </w:r>
          </w:p>
        </w:tc>
      </w:tr>
      <w:tr w:rsidR="007743F9" w:rsidRPr="007743F9" w:rsidTr="007743F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8" w:space="0" w:color="CCCCCC"/>
              <w:right w:val="single" w:sz="6" w:space="0" w:color="DDDDDD"/>
            </w:tcBorders>
            <w:shd w:val="clear" w:color="auto" w:fill="EEEEEE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Bloom's Revised Taxonomy</w:t>
            </w:r>
          </w:p>
        </w:tc>
        <w:tc>
          <w:tcPr>
            <w:tcW w:w="2696" w:type="dxa"/>
            <w:tcBorders>
              <w:top w:val="single" w:sz="6" w:space="0" w:color="DDDDDD"/>
              <w:left w:val="single" w:sz="6" w:space="0" w:color="DDDDDD"/>
              <w:bottom w:val="single" w:sz="18" w:space="0" w:color="CCCCCC"/>
              <w:right w:val="single" w:sz="6" w:space="0" w:color="DDDDDD"/>
            </w:tcBorders>
            <w:shd w:val="clear" w:color="auto" w:fill="EEEEEE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Assessment Tasks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Creating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Putting elements together to form a coherent or functional whole; reorganizing elements into a new pattern or structure through generating, planning, or producing.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Exhibition</w:t>
            </w: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br/>
              <w:t>Portfolio</w:t>
            </w: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br/>
              <w:t>Design a website</w:t>
            </w: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br/>
              <w:t>Create a video</w:t>
            </w:r>
            <w:r w:rsidRPr="007743F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br/>
              <w:t>Project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Evaluating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Making judgments based on criteria and standards through checking and critiquing.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Book review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Debate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Critique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Analysing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Breaking material into constituent parts, determining how the parts relate to one another and to an overall structure or purpose through differentiating, organizing, and attributing.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Research Report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Presentation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Journal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Applying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Carrying out or using a procedure through executing, or implementing.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Demonstrate a skill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Role plays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Performance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Produce a poster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Make a video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Understanding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Constructing meaning from oral, written, and graphic messages through interpreting, exemplifying, classifying, summarizing, inferring, comparing, and explaining.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Case studies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Written exams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Oral exams</w:t>
            </w:r>
          </w:p>
        </w:tc>
      </w:tr>
      <w:tr w:rsidR="007743F9" w:rsidRPr="007743F9" w:rsidTr="007743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b/>
                <w:bCs/>
                <w:i/>
                <w:iCs/>
                <w:color w:val="C02424"/>
                <w:sz w:val="24"/>
                <w:szCs w:val="24"/>
                <w:lang w:eastAsia="en-AU"/>
              </w:rPr>
              <w:t>Remembering</w:t>
            </w:r>
          </w:p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Recall information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  <w:hideMark/>
          </w:tcPr>
          <w:p w:rsidR="007743F9" w:rsidRPr="007743F9" w:rsidRDefault="007743F9" w:rsidP="00774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t>Quizzes - written, oral, online</w:t>
            </w:r>
            <w:r w:rsidRPr="007743F9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Essays</w:t>
            </w:r>
          </w:p>
        </w:tc>
      </w:tr>
    </w:tbl>
    <w:p w:rsidR="00F11CBC" w:rsidRDefault="00F11CBC">
      <w:bookmarkStart w:id="0" w:name="_GoBack"/>
      <w:bookmarkEnd w:id="0"/>
    </w:p>
    <w:sectPr w:rsidR="00F1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9"/>
    <w:rsid w:val="007743F9"/>
    <w:rsid w:val="008D0DDE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BFBF-98DF-4A68-A394-B9297F37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4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43F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Wache</dc:creator>
  <cp:keywords/>
  <dc:description/>
  <cp:lastModifiedBy>Dale Wache</cp:lastModifiedBy>
  <cp:revision>1</cp:revision>
  <dcterms:created xsi:type="dcterms:W3CDTF">2017-10-15T10:08:00Z</dcterms:created>
  <dcterms:modified xsi:type="dcterms:W3CDTF">2017-10-15T11:04:00Z</dcterms:modified>
</cp:coreProperties>
</file>