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72" w:type="dxa"/>
        <w:tblLayout w:type="fixed"/>
        <w:tblLook w:val="0000" w:firstRow="0" w:lastRow="0" w:firstColumn="0" w:lastColumn="0" w:noHBand="0" w:noVBand="0"/>
      </w:tblPr>
      <w:tblGrid>
        <w:gridCol w:w="2448"/>
        <w:gridCol w:w="9072"/>
      </w:tblGrid>
      <w:tr w:rsidR="00CB69D8" w:rsidRPr="004F1922" w14:paraId="77948FFC" w14:textId="77777777" w:rsidTr="00C33679">
        <w:tblPrEx>
          <w:tblCellMar>
            <w:top w:w="0" w:type="dxa"/>
            <w:bottom w:w="0" w:type="dxa"/>
          </w:tblCellMar>
        </w:tblPrEx>
        <w:tc>
          <w:tcPr>
            <w:tcW w:w="2448" w:type="dxa"/>
          </w:tcPr>
          <w:p w14:paraId="5F050BFC" w14:textId="112E57BB" w:rsidR="00CB69D8" w:rsidRPr="00B9310D" w:rsidRDefault="00CB69D8" w:rsidP="00CB69D8">
            <w:pPr>
              <w:rPr>
                <w:rFonts w:ascii="Arial Narrow" w:hAnsi="Arial Narrow"/>
                <w:i/>
              </w:rPr>
            </w:pPr>
            <w:r w:rsidRPr="00B9310D">
              <w:rPr>
                <w:rFonts w:ascii="Arial Narrow" w:hAnsi="Arial Narrow"/>
                <w:i/>
                <w:sz w:val="18"/>
              </w:rPr>
              <w:br w:type="page"/>
            </w:r>
            <w:r w:rsidRPr="00B9310D">
              <w:rPr>
                <w:rFonts w:ascii="Arial Narrow" w:hAnsi="Arial Narrow"/>
                <w:i/>
                <w:sz w:val="18"/>
              </w:rPr>
              <w:br w:type="page"/>
            </w:r>
            <w:r w:rsidR="00E316EA" w:rsidRPr="00E44962">
              <w:rPr>
                <w:rFonts w:ascii="Arial Narrow" w:hAnsi="Arial Narrow"/>
                <w:noProof/>
                <w:lang w:eastAsia="en-AU"/>
              </w:rPr>
              <w:drawing>
                <wp:inline distT="0" distB="0" distL="0" distR="0" wp14:anchorId="1DC19A52" wp14:editId="16247F24">
                  <wp:extent cx="1428750" cy="657225"/>
                  <wp:effectExtent l="0" t="0" r="0" b="0"/>
                  <wp:docPr id="1" name="Picture 1" descr="Description: D:\Documents and Settings\thorpenn\Desktop\Sch-Eductn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 and Settings\thorpenn\Desktop\Sch-Eductn_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inline>
              </w:drawing>
            </w:r>
          </w:p>
        </w:tc>
        <w:tc>
          <w:tcPr>
            <w:tcW w:w="9072" w:type="dxa"/>
          </w:tcPr>
          <w:p w14:paraId="5FA9AF57" w14:textId="77777777" w:rsidR="00CB69D8" w:rsidRPr="00B9310D" w:rsidRDefault="00CB69D8" w:rsidP="00CB69D8">
            <w:pPr>
              <w:pStyle w:val="Header"/>
              <w:tabs>
                <w:tab w:val="clear" w:pos="4153"/>
                <w:tab w:val="clear" w:pos="8306"/>
                <w:tab w:val="right" w:pos="8964"/>
              </w:tabs>
              <w:rPr>
                <w:rFonts w:ascii="Arial Narrow" w:hAnsi="Arial Narrow"/>
                <w:i/>
              </w:rPr>
            </w:pPr>
          </w:p>
          <w:p w14:paraId="0BB892EC" w14:textId="77777777" w:rsidR="001E4EF1" w:rsidRPr="001E4EF1" w:rsidRDefault="001E4EF1" w:rsidP="001E4EF1">
            <w:pPr>
              <w:ind w:right="1026"/>
              <w:jc w:val="right"/>
              <w:rPr>
                <w:rFonts w:ascii="Calibri" w:hAnsi="Calibri" w:cs="Calibri"/>
                <w:b/>
                <w:sz w:val="28"/>
                <w:szCs w:val="28"/>
              </w:rPr>
            </w:pPr>
            <w:r w:rsidRPr="001E4EF1">
              <w:rPr>
                <w:rFonts w:ascii="Calibri" w:hAnsi="Calibri" w:cs="Calibri"/>
                <w:b/>
                <w:sz w:val="28"/>
                <w:szCs w:val="28"/>
              </w:rPr>
              <w:t>MBET - Bachelor of Education (Primary &amp; Middle)</w:t>
            </w:r>
          </w:p>
          <w:p w14:paraId="42E913F1" w14:textId="77777777" w:rsidR="001E4EF1" w:rsidRPr="001E4EF1" w:rsidRDefault="001E4EF1" w:rsidP="001E4EF1">
            <w:pPr>
              <w:ind w:right="1026"/>
              <w:jc w:val="right"/>
              <w:rPr>
                <w:rFonts w:ascii="Calibri" w:hAnsi="Calibri" w:cs="Calibri"/>
                <w:sz w:val="28"/>
                <w:szCs w:val="28"/>
              </w:rPr>
            </w:pPr>
            <w:r w:rsidRPr="001E4EF1">
              <w:rPr>
                <w:rFonts w:ascii="Calibri" w:hAnsi="Calibri" w:cs="Calibri"/>
                <w:sz w:val="28"/>
                <w:szCs w:val="28"/>
              </w:rPr>
              <w:t>Minor Course Options</w:t>
            </w:r>
          </w:p>
          <w:p w14:paraId="02AEE4D6" w14:textId="77777777" w:rsidR="00B92D41" w:rsidRPr="006E0CC3" w:rsidRDefault="00B92D41" w:rsidP="00B92D41">
            <w:pPr>
              <w:ind w:right="1026"/>
              <w:jc w:val="right"/>
              <w:rPr>
                <w:rFonts w:ascii="Arial Narrow" w:hAnsi="Arial Narrow"/>
                <w:b/>
                <w:i/>
                <w:sz w:val="34"/>
                <w:szCs w:val="34"/>
              </w:rPr>
            </w:pPr>
          </w:p>
          <w:p w14:paraId="0A8DA8E2" w14:textId="77777777" w:rsidR="00CB69D8" w:rsidRPr="00D12550" w:rsidRDefault="00CB69D8" w:rsidP="00D12550">
            <w:pPr>
              <w:ind w:left="-1384"/>
              <w:rPr>
                <w:rFonts w:ascii="Arial Narrow" w:hAnsi="Arial Narrow"/>
                <w:sz w:val="16"/>
              </w:rPr>
            </w:pPr>
          </w:p>
        </w:tc>
      </w:tr>
    </w:tbl>
    <w:p w14:paraId="1964BBFD" w14:textId="77777777" w:rsidR="001E4EF1" w:rsidRPr="00EA4E58" w:rsidRDefault="001E4EF1" w:rsidP="001E4EF1">
      <w:pPr>
        <w:rPr>
          <w:rFonts w:ascii="Arial" w:hAnsi="Arial" w:cs="Arial"/>
          <w:b/>
          <w:sz w:val="24"/>
          <w:u w:val="single"/>
          <w:lang w:eastAsia="en-AU"/>
        </w:rPr>
      </w:pPr>
      <w:r>
        <w:rPr>
          <w:rFonts w:ascii="Arial" w:hAnsi="Arial" w:cs="Arial"/>
          <w:b/>
          <w:sz w:val="24"/>
          <w:u w:val="single"/>
          <w:lang w:eastAsia="en-AU"/>
        </w:rPr>
        <w:t>MATHEMATICS</w:t>
      </w:r>
    </w:p>
    <w:p w14:paraId="488C906F" w14:textId="77777777" w:rsidR="001E4EF1" w:rsidRPr="0014251F" w:rsidRDefault="001E4EF1" w:rsidP="00D27E66">
      <w:pPr>
        <w:rPr>
          <w:rFonts w:ascii="Arial" w:hAnsi="Arial" w:cs="Arial"/>
          <w:szCs w:val="20"/>
        </w:rPr>
      </w:pPr>
    </w:p>
    <w:p w14:paraId="538DBCA7" w14:textId="77777777" w:rsidR="006F680D" w:rsidRPr="006F680D" w:rsidRDefault="006F680D" w:rsidP="006F680D">
      <w:pPr>
        <w:rPr>
          <w:rFonts w:ascii="Arial" w:hAnsi="Arial" w:cs="Arial"/>
          <w:b/>
          <w:szCs w:val="20"/>
        </w:rPr>
      </w:pPr>
      <w:r w:rsidRPr="006F680D">
        <w:rPr>
          <w:rFonts w:ascii="Arial" w:hAnsi="Arial" w:cs="Arial"/>
          <w:b/>
          <w:szCs w:val="20"/>
        </w:rPr>
        <w:t xml:space="preserve">*** There are no summer/winter </w:t>
      </w:r>
      <w:r>
        <w:rPr>
          <w:rFonts w:ascii="Arial" w:hAnsi="Arial" w:cs="Arial"/>
          <w:b/>
          <w:szCs w:val="20"/>
        </w:rPr>
        <w:t xml:space="preserve">school </w:t>
      </w:r>
      <w:r w:rsidRPr="006F680D">
        <w:rPr>
          <w:rFonts w:ascii="Arial" w:hAnsi="Arial" w:cs="Arial"/>
          <w:b/>
          <w:szCs w:val="20"/>
        </w:rPr>
        <w:t>maths options, so plan your se</w:t>
      </w:r>
      <w:r w:rsidR="00697399">
        <w:rPr>
          <w:rFonts w:ascii="Arial" w:hAnsi="Arial" w:cs="Arial"/>
          <w:b/>
          <w:szCs w:val="20"/>
        </w:rPr>
        <w:t>quence of MATH courses early &amp;</w:t>
      </w:r>
      <w:r w:rsidRPr="006F680D">
        <w:rPr>
          <w:rFonts w:ascii="Arial" w:hAnsi="Arial" w:cs="Arial"/>
          <w:b/>
          <w:szCs w:val="20"/>
        </w:rPr>
        <w:t xml:space="preserve"> carefully. ***</w:t>
      </w:r>
    </w:p>
    <w:p w14:paraId="7F8B33B2" w14:textId="77777777" w:rsidR="006F680D" w:rsidRPr="0014251F" w:rsidRDefault="006F680D" w:rsidP="006F680D">
      <w:pPr>
        <w:rPr>
          <w:rFonts w:ascii="Arial" w:hAnsi="Arial" w:cs="Arial"/>
          <w:szCs w:val="20"/>
        </w:rPr>
      </w:pPr>
    </w:p>
    <w:p w14:paraId="1A4B3C7C" w14:textId="77777777" w:rsidR="006F680D" w:rsidRPr="0031783D" w:rsidRDefault="006F680D" w:rsidP="006F680D">
      <w:pPr>
        <w:rPr>
          <w:rFonts w:ascii="Arial" w:hAnsi="Arial" w:cs="Arial"/>
          <w:b/>
          <w:sz w:val="24"/>
        </w:rPr>
      </w:pPr>
      <w:r w:rsidRPr="0031783D">
        <w:rPr>
          <w:rFonts w:ascii="Arial" w:hAnsi="Arial" w:cs="Arial"/>
          <w:b/>
          <w:sz w:val="24"/>
        </w:rPr>
        <w:t xml:space="preserve">Recommended </w:t>
      </w:r>
      <w:r>
        <w:rPr>
          <w:rFonts w:ascii="Arial" w:hAnsi="Arial" w:cs="Arial"/>
          <w:b/>
          <w:sz w:val="24"/>
        </w:rPr>
        <w:t>c</w:t>
      </w:r>
      <w:r w:rsidRPr="0031783D">
        <w:rPr>
          <w:rFonts w:ascii="Arial" w:hAnsi="Arial" w:cs="Arial"/>
          <w:b/>
          <w:sz w:val="24"/>
        </w:rPr>
        <w:t>ourses</w:t>
      </w:r>
    </w:p>
    <w:p w14:paraId="535C2E99" w14:textId="77777777" w:rsidR="006F680D" w:rsidRDefault="006F680D" w:rsidP="006F680D">
      <w:pPr>
        <w:rPr>
          <w:rFonts w:ascii="Arial" w:hAnsi="Arial" w:cs="Arial"/>
          <w:szCs w:val="20"/>
        </w:rPr>
      </w:pPr>
    </w:p>
    <w:p w14:paraId="12747D59" w14:textId="77777777" w:rsidR="006F680D" w:rsidRDefault="006F680D" w:rsidP="006F680D">
      <w:pPr>
        <w:rPr>
          <w:rFonts w:ascii="Arial" w:hAnsi="Arial" w:cs="Arial"/>
          <w:szCs w:val="20"/>
        </w:rPr>
      </w:pPr>
      <w:bookmarkStart w:id="0" w:name="OLE_LINK13"/>
      <w:bookmarkStart w:id="1" w:name="OLE_LINK14"/>
      <w:r>
        <w:rPr>
          <w:rFonts w:ascii="Arial" w:hAnsi="Arial" w:cs="Arial"/>
          <w:szCs w:val="20"/>
        </w:rPr>
        <w:t xml:space="preserve">The following </w:t>
      </w:r>
      <w:bookmarkEnd w:id="0"/>
      <w:bookmarkEnd w:id="1"/>
      <w:r>
        <w:rPr>
          <w:rFonts w:ascii="Arial" w:hAnsi="Arial" w:cs="Arial"/>
          <w:szCs w:val="20"/>
        </w:rPr>
        <w:t xml:space="preserve">courses are recommended for most students.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384"/>
        <w:gridCol w:w="5660"/>
        <w:gridCol w:w="1472"/>
      </w:tblGrid>
      <w:tr w:rsidR="001E4EF1" w:rsidRPr="0014251F" w14:paraId="0CC45081" w14:textId="77777777" w:rsidTr="00500A03">
        <w:tc>
          <w:tcPr>
            <w:tcW w:w="1384" w:type="dxa"/>
            <w:vAlign w:val="center"/>
          </w:tcPr>
          <w:p w14:paraId="19F98A0A" w14:textId="77777777" w:rsidR="001E4EF1" w:rsidRPr="00532273" w:rsidRDefault="001E4EF1" w:rsidP="001E4EF1">
            <w:pPr>
              <w:pStyle w:val="ListParagraph"/>
              <w:spacing w:before="240"/>
              <w:ind w:left="0"/>
              <w:rPr>
                <w:rFonts w:ascii="Arial" w:hAnsi="Arial" w:cs="Arial"/>
                <w:sz w:val="20"/>
                <w:szCs w:val="20"/>
              </w:rPr>
            </w:pPr>
            <w:r w:rsidRPr="00532273">
              <w:rPr>
                <w:rFonts w:ascii="Arial" w:hAnsi="Arial" w:cs="Arial"/>
                <w:sz w:val="20"/>
                <w:szCs w:val="20"/>
              </w:rPr>
              <w:t>MATH 1057</w:t>
            </w:r>
          </w:p>
        </w:tc>
        <w:tc>
          <w:tcPr>
            <w:tcW w:w="5660" w:type="dxa"/>
            <w:vAlign w:val="center"/>
          </w:tcPr>
          <w:p w14:paraId="153158C8" w14:textId="77777777" w:rsidR="001E4EF1" w:rsidRPr="00532273" w:rsidRDefault="009669CB" w:rsidP="001E4EF1">
            <w:pPr>
              <w:pStyle w:val="ListParagraph"/>
              <w:spacing w:before="240"/>
              <w:ind w:left="0"/>
              <w:rPr>
                <w:rFonts w:ascii="Arial" w:hAnsi="Arial" w:cs="Arial"/>
                <w:sz w:val="20"/>
                <w:szCs w:val="20"/>
              </w:rPr>
            </w:pPr>
            <w:r>
              <w:rPr>
                <w:rFonts w:ascii="Arial" w:hAnsi="Arial" w:cs="Arial"/>
                <w:sz w:val="20"/>
                <w:szCs w:val="20"/>
              </w:rPr>
              <w:t xml:space="preserve">Mathematics for Primary Educators 1  (previously </w:t>
            </w:r>
            <w:r w:rsidR="001E4EF1" w:rsidRPr="00532273">
              <w:rPr>
                <w:rFonts w:ascii="Arial" w:hAnsi="Arial" w:cs="Arial"/>
                <w:sz w:val="20"/>
                <w:szCs w:val="20"/>
              </w:rPr>
              <w:t>Elementary Mathematics for Education Students</w:t>
            </w:r>
            <w:r>
              <w:rPr>
                <w:rFonts w:ascii="Arial" w:hAnsi="Arial" w:cs="Arial"/>
                <w:sz w:val="20"/>
                <w:szCs w:val="20"/>
              </w:rPr>
              <w:t>)</w:t>
            </w:r>
          </w:p>
        </w:tc>
        <w:tc>
          <w:tcPr>
            <w:tcW w:w="1472" w:type="dxa"/>
            <w:vAlign w:val="center"/>
          </w:tcPr>
          <w:p w14:paraId="2127BE82" w14:textId="77777777" w:rsidR="001E4EF1" w:rsidRPr="00532273" w:rsidRDefault="001E4EF1" w:rsidP="001E4EF1">
            <w:pPr>
              <w:pStyle w:val="ListParagraph"/>
              <w:spacing w:before="240"/>
              <w:ind w:left="0"/>
              <w:jc w:val="center"/>
              <w:rPr>
                <w:rFonts w:ascii="Arial" w:hAnsi="Arial" w:cs="Arial"/>
                <w:sz w:val="20"/>
                <w:szCs w:val="20"/>
              </w:rPr>
            </w:pPr>
            <w:r>
              <w:rPr>
                <w:rFonts w:ascii="Arial" w:hAnsi="Arial" w:cs="Arial"/>
                <w:sz w:val="20"/>
                <w:szCs w:val="20"/>
              </w:rPr>
              <w:t>SP2 or SP5</w:t>
            </w:r>
          </w:p>
        </w:tc>
      </w:tr>
      <w:tr w:rsidR="001E4EF1" w:rsidRPr="0014251F" w14:paraId="694FDF8C" w14:textId="77777777" w:rsidTr="00500A03">
        <w:tc>
          <w:tcPr>
            <w:tcW w:w="1384" w:type="dxa"/>
            <w:vAlign w:val="center"/>
          </w:tcPr>
          <w:p w14:paraId="62511F15" w14:textId="77777777" w:rsidR="001E4EF1" w:rsidRPr="00532273" w:rsidRDefault="001E4EF1" w:rsidP="001E4EF1">
            <w:pPr>
              <w:pStyle w:val="ListParagraph"/>
              <w:spacing w:before="240"/>
              <w:ind w:left="0"/>
              <w:rPr>
                <w:rFonts w:ascii="Arial" w:hAnsi="Arial" w:cs="Arial"/>
                <w:sz w:val="20"/>
                <w:szCs w:val="20"/>
              </w:rPr>
            </w:pPr>
            <w:r>
              <w:rPr>
                <w:rFonts w:ascii="Arial" w:hAnsi="Arial" w:cs="Arial"/>
                <w:sz w:val="20"/>
                <w:szCs w:val="20"/>
              </w:rPr>
              <w:t>MATH 1070</w:t>
            </w:r>
          </w:p>
        </w:tc>
        <w:tc>
          <w:tcPr>
            <w:tcW w:w="5660" w:type="dxa"/>
            <w:vAlign w:val="center"/>
          </w:tcPr>
          <w:p w14:paraId="5D2247A3" w14:textId="77777777" w:rsidR="001E4EF1" w:rsidRPr="00532273" w:rsidRDefault="001E4EF1" w:rsidP="001E4EF1">
            <w:pPr>
              <w:pStyle w:val="ListParagraph"/>
              <w:spacing w:before="240"/>
              <w:ind w:left="0"/>
              <w:rPr>
                <w:rFonts w:ascii="Arial" w:hAnsi="Arial" w:cs="Arial"/>
                <w:sz w:val="20"/>
                <w:szCs w:val="20"/>
              </w:rPr>
            </w:pPr>
            <w:r>
              <w:rPr>
                <w:rFonts w:ascii="Arial" w:hAnsi="Arial" w:cs="Arial"/>
                <w:sz w:val="20"/>
                <w:szCs w:val="20"/>
              </w:rPr>
              <w:t>Developing Mathematical Thinking</w:t>
            </w:r>
          </w:p>
        </w:tc>
        <w:tc>
          <w:tcPr>
            <w:tcW w:w="1472" w:type="dxa"/>
            <w:vAlign w:val="center"/>
          </w:tcPr>
          <w:p w14:paraId="07231E59" w14:textId="77777777" w:rsidR="001E4EF1" w:rsidRPr="00532273" w:rsidRDefault="001E4EF1" w:rsidP="001E4EF1">
            <w:pPr>
              <w:pStyle w:val="ListParagraph"/>
              <w:spacing w:before="240"/>
              <w:ind w:left="0"/>
              <w:jc w:val="center"/>
              <w:rPr>
                <w:rFonts w:ascii="Arial" w:hAnsi="Arial" w:cs="Arial"/>
                <w:sz w:val="20"/>
                <w:szCs w:val="20"/>
              </w:rPr>
            </w:pPr>
            <w:r>
              <w:rPr>
                <w:rFonts w:ascii="Arial" w:hAnsi="Arial" w:cs="Arial"/>
                <w:sz w:val="20"/>
                <w:szCs w:val="20"/>
              </w:rPr>
              <w:t>SP5</w:t>
            </w:r>
          </w:p>
        </w:tc>
      </w:tr>
      <w:tr w:rsidR="001E4EF1" w:rsidRPr="0014251F" w14:paraId="3F7C44F2" w14:textId="77777777" w:rsidTr="00500A03">
        <w:tc>
          <w:tcPr>
            <w:tcW w:w="1384" w:type="dxa"/>
            <w:vAlign w:val="center"/>
          </w:tcPr>
          <w:p w14:paraId="383FE5F0" w14:textId="77777777" w:rsidR="001E4EF1" w:rsidRPr="00532273" w:rsidRDefault="001E4EF1" w:rsidP="001E4EF1">
            <w:pPr>
              <w:pStyle w:val="ListParagraph"/>
              <w:spacing w:before="240"/>
              <w:ind w:left="0"/>
              <w:rPr>
                <w:rFonts w:ascii="Arial" w:hAnsi="Arial" w:cs="Arial"/>
                <w:sz w:val="20"/>
                <w:szCs w:val="20"/>
              </w:rPr>
            </w:pPr>
            <w:r w:rsidRPr="00532273">
              <w:rPr>
                <w:rFonts w:ascii="Arial" w:hAnsi="Arial" w:cs="Arial"/>
                <w:sz w:val="20"/>
                <w:szCs w:val="20"/>
              </w:rPr>
              <w:t>MATH 1053</w:t>
            </w:r>
          </w:p>
        </w:tc>
        <w:tc>
          <w:tcPr>
            <w:tcW w:w="5660" w:type="dxa"/>
            <w:vAlign w:val="center"/>
          </w:tcPr>
          <w:p w14:paraId="6803A6A4" w14:textId="7DDF72B4" w:rsidR="00E32CAD" w:rsidRPr="00E316EA" w:rsidRDefault="001E4EF1" w:rsidP="001E4EF1">
            <w:pPr>
              <w:pStyle w:val="ListParagraph"/>
              <w:spacing w:before="240"/>
              <w:ind w:left="0"/>
              <w:rPr>
                <w:rFonts w:ascii="Arial" w:hAnsi="Arial" w:cs="Arial"/>
                <w:sz w:val="20"/>
                <w:szCs w:val="20"/>
              </w:rPr>
            </w:pPr>
            <w:r w:rsidRPr="00532273">
              <w:rPr>
                <w:rFonts w:ascii="Arial" w:hAnsi="Arial" w:cs="Arial"/>
                <w:sz w:val="20"/>
                <w:szCs w:val="20"/>
              </w:rPr>
              <w:t>Quantitative Methods for Business</w:t>
            </w:r>
          </w:p>
        </w:tc>
        <w:tc>
          <w:tcPr>
            <w:tcW w:w="1472" w:type="dxa"/>
            <w:vAlign w:val="center"/>
          </w:tcPr>
          <w:p w14:paraId="6F1CD09F" w14:textId="77777777" w:rsidR="001E4EF1" w:rsidRPr="00532273" w:rsidRDefault="001E4EF1" w:rsidP="001E4EF1">
            <w:pPr>
              <w:pStyle w:val="ListParagraph"/>
              <w:spacing w:before="240"/>
              <w:ind w:left="0"/>
              <w:jc w:val="center"/>
              <w:rPr>
                <w:rFonts w:ascii="Arial" w:hAnsi="Arial" w:cs="Arial"/>
                <w:sz w:val="20"/>
                <w:szCs w:val="20"/>
              </w:rPr>
            </w:pPr>
            <w:r>
              <w:rPr>
                <w:rFonts w:ascii="Arial" w:hAnsi="Arial" w:cs="Arial"/>
                <w:sz w:val="20"/>
                <w:szCs w:val="20"/>
              </w:rPr>
              <w:t>SP2 or SP5 (Internal or Online)</w:t>
            </w:r>
          </w:p>
        </w:tc>
      </w:tr>
      <w:tr w:rsidR="001E4EF1" w:rsidRPr="0014251F" w14:paraId="6EAA51C9" w14:textId="77777777" w:rsidTr="00500A03">
        <w:tc>
          <w:tcPr>
            <w:tcW w:w="1384" w:type="dxa"/>
            <w:vAlign w:val="center"/>
          </w:tcPr>
          <w:p w14:paraId="1D6DC205" w14:textId="77777777" w:rsidR="001E4EF1" w:rsidRPr="00532273" w:rsidRDefault="001E4EF1" w:rsidP="001E4EF1">
            <w:pPr>
              <w:pStyle w:val="ListParagraph"/>
              <w:spacing w:before="240"/>
              <w:ind w:left="0"/>
              <w:rPr>
                <w:rFonts w:ascii="Arial" w:hAnsi="Arial" w:cs="Arial"/>
                <w:sz w:val="20"/>
                <w:szCs w:val="20"/>
              </w:rPr>
            </w:pPr>
            <w:r w:rsidRPr="00532273">
              <w:rPr>
                <w:rFonts w:ascii="Arial" w:hAnsi="Arial" w:cs="Arial"/>
                <w:sz w:val="20"/>
                <w:szCs w:val="20"/>
              </w:rPr>
              <w:t>MATH 1066</w:t>
            </w:r>
          </w:p>
        </w:tc>
        <w:tc>
          <w:tcPr>
            <w:tcW w:w="5660" w:type="dxa"/>
            <w:vAlign w:val="center"/>
          </w:tcPr>
          <w:p w14:paraId="16B905F2" w14:textId="77777777" w:rsidR="001E4EF1" w:rsidRPr="00532273" w:rsidRDefault="001E4EF1" w:rsidP="001E4EF1">
            <w:pPr>
              <w:pStyle w:val="ListParagraph"/>
              <w:spacing w:before="240"/>
              <w:ind w:left="0"/>
              <w:rPr>
                <w:rFonts w:ascii="Arial" w:hAnsi="Arial" w:cs="Arial"/>
                <w:sz w:val="20"/>
                <w:szCs w:val="20"/>
              </w:rPr>
            </w:pPr>
            <w:r w:rsidRPr="00532273">
              <w:rPr>
                <w:rFonts w:ascii="Arial" w:hAnsi="Arial" w:cs="Arial"/>
                <w:sz w:val="20"/>
                <w:szCs w:val="20"/>
              </w:rPr>
              <w:t>Essential Mathematics 1: Algebra and Trigonometry</w:t>
            </w:r>
          </w:p>
        </w:tc>
        <w:tc>
          <w:tcPr>
            <w:tcW w:w="1472" w:type="dxa"/>
            <w:vAlign w:val="center"/>
          </w:tcPr>
          <w:p w14:paraId="5325DD5E" w14:textId="77777777" w:rsidR="001E4EF1" w:rsidRPr="00532273" w:rsidRDefault="001E4EF1" w:rsidP="001E4EF1">
            <w:pPr>
              <w:pStyle w:val="ListParagraph"/>
              <w:spacing w:before="240"/>
              <w:ind w:left="0"/>
              <w:jc w:val="center"/>
              <w:rPr>
                <w:rFonts w:ascii="Arial" w:hAnsi="Arial" w:cs="Arial"/>
                <w:sz w:val="20"/>
                <w:szCs w:val="20"/>
              </w:rPr>
            </w:pPr>
            <w:r>
              <w:rPr>
                <w:rFonts w:ascii="Arial" w:hAnsi="Arial" w:cs="Arial"/>
                <w:sz w:val="20"/>
                <w:szCs w:val="20"/>
              </w:rPr>
              <w:t>SP2 or SP5 (Internal or Online)</w:t>
            </w:r>
          </w:p>
        </w:tc>
      </w:tr>
      <w:tr w:rsidR="001E4EF1" w:rsidRPr="0014251F" w14:paraId="4C978147" w14:textId="77777777" w:rsidTr="00500A03">
        <w:tc>
          <w:tcPr>
            <w:tcW w:w="1384" w:type="dxa"/>
            <w:vAlign w:val="center"/>
          </w:tcPr>
          <w:p w14:paraId="171088C7" w14:textId="77777777" w:rsidR="001E4EF1" w:rsidRPr="00532273" w:rsidRDefault="001E4EF1" w:rsidP="001E4EF1">
            <w:pPr>
              <w:pStyle w:val="ListParagraph"/>
              <w:spacing w:before="240"/>
              <w:ind w:left="0"/>
              <w:rPr>
                <w:rFonts w:ascii="Arial" w:hAnsi="Arial" w:cs="Arial"/>
                <w:sz w:val="20"/>
                <w:szCs w:val="20"/>
              </w:rPr>
            </w:pPr>
            <w:r w:rsidRPr="00532273">
              <w:rPr>
                <w:rFonts w:ascii="Arial" w:hAnsi="Arial" w:cs="Arial"/>
                <w:sz w:val="20"/>
                <w:szCs w:val="20"/>
              </w:rPr>
              <w:t>MATH 1067</w:t>
            </w:r>
          </w:p>
        </w:tc>
        <w:tc>
          <w:tcPr>
            <w:tcW w:w="5660" w:type="dxa"/>
            <w:vAlign w:val="center"/>
          </w:tcPr>
          <w:p w14:paraId="705BFE66" w14:textId="77777777" w:rsidR="001E4EF1" w:rsidRPr="00532273" w:rsidRDefault="001E4EF1" w:rsidP="001E4EF1">
            <w:pPr>
              <w:pStyle w:val="ListParagraph"/>
              <w:spacing w:before="240"/>
              <w:ind w:left="0"/>
              <w:rPr>
                <w:rFonts w:ascii="Arial" w:hAnsi="Arial" w:cs="Arial"/>
                <w:sz w:val="20"/>
                <w:szCs w:val="20"/>
              </w:rPr>
            </w:pPr>
            <w:r w:rsidRPr="00532273">
              <w:rPr>
                <w:rFonts w:ascii="Arial" w:hAnsi="Arial" w:cs="Arial"/>
                <w:sz w:val="20"/>
                <w:szCs w:val="20"/>
              </w:rPr>
              <w:t>Essential Mathematics 2: Calculus</w:t>
            </w:r>
          </w:p>
        </w:tc>
        <w:tc>
          <w:tcPr>
            <w:tcW w:w="1472" w:type="dxa"/>
            <w:vAlign w:val="center"/>
          </w:tcPr>
          <w:p w14:paraId="143B9388" w14:textId="77777777" w:rsidR="001E4EF1" w:rsidRPr="00532273" w:rsidRDefault="001E4EF1" w:rsidP="001E4EF1">
            <w:pPr>
              <w:pStyle w:val="ListParagraph"/>
              <w:spacing w:before="240"/>
              <w:ind w:left="0"/>
              <w:jc w:val="center"/>
              <w:rPr>
                <w:rFonts w:ascii="Arial" w:hAnsi="Arial" w:cs="Arial"/>
                <w:sz w:val="20"/>
                <w:szCs w:val="20"/>
              </w:rPr>
            </w:pPr>
            <w:r>
              <w:rPr>
                <w:rFonts w:ascii="Arial" w:hAnsi="Arial" w:cs="Arial"/>
                <w:sz w:val="20"/>
                <w:szCs w:val="20"/>
              </w:rPr>
              <w:t>SP2 or SP5 (Internal or Online)</w:t>
            </w:r>
          </w:p>
        </w:tc>
      </w:tr>
    </w:tbl>
    <w:p w14:paraId="6B475576" w14:textId="77777777" w:rsidR="006F680D" w:rsidRPr="006F680D" w:rsidRDefault="006F680D" w:rsidP="006F680D">
      <w:pPr>
        <w:rPr>
          <w:rFonts w:ascii="Arial" w:hAnsi="Arial" w:cs="Arial"/>
          <w:b/>
          <w:sz w:val="24"/>
        </w:rPr>
      </w:pPr>
    </w:p>
    <w:p w14:paraId="2AA67373" w14:textId="77777777" w:rsidR="006F680D" w:rsidRPr="006F680D" w:rsidRDefault="006F680D" w:rsidP="006F680D">
      <w:pPr>
        <w:rPr>
          <w:rFonts w:ascii="Arial" w:hAnsi="Arial" w:cs="Arial"/>
          <w:b/>
          <w:sz w:val="24"/>
        </w:rPr>
      </w:pPr>
      <w:r w:rsidRPr="006F680D">
        <w:rPr>
          <w:rFonts w:ascii="Arial" w:hAnsi="Arial" w:cs="Arial"/>
          <w:b/>
          <w:sz w:val="24"/>
        </w:rPr>
        <w:t>Other suitable courses</w:t>
      </w:r>
    </w:p>
    <w:p w14:paraId="4EA7C5B0" w14:textId="77777777" w:rsidR="006F680D" w:rsidRPr="006F680D" w:rsidRDefault="006F680D" w:rsidP="006F680D">
      <w:pPr>
        <w:rPr>
          <w:rFonts w:ascii="Arial" w:hAnsi="Arial" w:cs="Arial"/>
          <w:szCs w:val="20"/>
        </w:rPr>
      </w:pPr>
      <w:r w:rsidRPr="006F680D">
        <w:rPr>
          <w:rFonts w:ascii="Arial" w:hAnsi="Arial" w:cs="Arial"/>
          <w:i/>
          <w:szCs w:val="20"/>
        </w:rPr>
        <w:t xml:space="preserve">Any course </w:t>
      </w:r>
      <w:r w:rsidRPr="006F680D">
        <w:rPr>
          <w:rFonts w:ascii="Arial" w:hAnsi="Arial" w:cs="Arial"/>
          <w:szCs w:val="20"/>
        </w:rPr>
        <w:t>with a MATH code is available for the minor, but enrolment depends on meeting the prerequisites and on your level of mathematical ability. Please seek advice before enrolling in any MATH course that is not in the table of Recommended Courses.</w:t>
      </w:r>
    </w:p>
    <w:p w14:paraId="1557D2A6" w14:textId="77777777" w:rsidR="006F680D" w:rsidRPr="006F680D" w:rsidRDefault="006F680D" w:rsidP="006F680D">
      <w:pPr>
        <w:rPr>
          <w:rFonts w:ascii="Arial" w:hAnsi="Arial" w:cs="Arial"/>
          <w:szCs w:val="20"/>
        </w:rPr>
      </w:pPr>
    </w:p>
    <w:p w14:paraId="6538D862" w14:textId="77777777" w:rsidR="006F680D" w:rsidRPr="006F680D" w:rsidRDefault="006F680D" w:rsidP="006F680D">
      <w:pPr>
        <w:rPr>
          <w:rFonts w:ascii="Arial" w:hAnsi="Arial" w:cs="Arial"/>
          <w:szCs w:val="20"/>
        </w:rPr>
      </w:pPr>
      <w:r w:rsidRPr="006F680D">
        <w:rPr>
          <w:rFonts w:ascii="Arial" w:hAnsi="Arial" w:cs="Arial"/>
          <w:szCs w:val="20"/>
        </w:rPr>
        <w:t>Some other suitable courses are listed below. Please seek advice before enrolling.</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384"/>
        <w:gridCol w:w="1310"/>
        <w:gridCol w:w="5103"/>
        <w:gridCol w:w="1559"/>
      </w:tblGrid>
      <w:tr w:rsidR="001E4EF1" w:rsidRPr="006F680D" w14:paraId="24C0446A" w14:textId="77777777" w:rsidTr="00500A03">
        <w:tc>
          <w:tcPr>
            <w:tcW w:w="1384" w:type="dxa"/>
            <w:vAlign w:val="center"/>
          </w:tcPr>
          <w:p w14:paraId="50D21CA4"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MATH 1039</w:t>
            </w:r>
          </w:p>
        </w:tc>
        <w:tc>
          <w:tcPr>
            <w:tcW w:w="6413" w:type="dxa"/>
            <w:gridSpan w:val="2"/>
            <w:vAlign w:val="center"/>
          </w:tcPr>
          <w:p w14:paraId="27A18EC7"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 xml:space="preserve">Mathematics for Laboratory Sciences </w:t>
            </w:r>
          </w:p>
        </w:tc>
        <w:tc>
          <w:tcPr>
            <w:tcW w:w="1559" w:type="dxa"/>
            <w:vAlign w:val="center"/>
          </w:tcPr>
          <w:p w14:paraId="7BEF41E7" w14:textId="77777777" w:rsidR="001E4EF1" w:rsidRPr="006F680D" w:rsidRDefault="001E4EF1" w:rsidP="001E4EF1">
            <w:pPr>
              <w:spacing w:before="80" w:after="80"/>
              <w:ind w:right="-948"/>
              <w:contextualSpacing/>
              <w:rPr>
                <w:rFonts w:ascii="Arial" w:eastAsia="Calibri" w:hAnsi="Arial" w:cs="Arial"/>
                <w:szCs w:val="20"/>
              </w:rPr>
            </w:pPr>
            <w:r>
              <w:rPr>
                <w:rFonts w:ascii="Arial" w:eastAsia="Calibri" w:hAnsi="Arial" w:cs="Arial"/>
                <w:szCs w:val="20"/>
              </w:rPr>
              <w:t xml:space="preserve">         SP2</w:t>
            </w:r>
          </w:p>
        </w:tc>
      </w:tr>
      <w:tr w:rsidR="001E4EF1" w:rsidRPr="006F680D" w14:paraId="4ACEB47B" w14:textId="77777777" w:rsidTr="00500A03">
        <w:tc>
          <w:tcPr>
            <w:tcW w:w="1384" w:type="dxa"/>
            <w:vAlign w:val="center"/>
          </w:tcPr>
          <w:p w14:paraId="7F0D55F8"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MATH 1043</w:t>
            </w:r>
          </w:p>
        </w:tc>
        <w:tc>
          <w:tcPr>
            <w:tcW w:w="6413" w:type="dxa"/>
            <w:gridSpan w:val="2"/>
            <w:vAlign w:val="center"/>
          </w:tcPr>
          <w:p w14:paraId="3DA80587"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Discrete Mathematics</w:t>
            </w:r>
          </w:p>
        </w:tc>
        <w:tc>
          <w:tcPr>
            <w:tcW w:w="1559" w:type="dxa"/>
            <w:vAlign w:val="center"/>
          </w:tcPr>
          <w:p w14:paraId="71E8DE63" w14:textId="77777777" w:rsidR="001E4EF1" w:rsidRDefault="001E4EF1" w:rsidP="001E4EF1">
            <w:pPr>
              <w:spacing w:before="80" w:after="80"/>
              <w:ind w:right="-948"/>
              <w:contextualSpacing/>
              <w:rPr>
                <w:rFonts w:ascii="Arial" w:eastAsia="Calibri" w:hAnsi="Arial" w:cs="Arial"/>
                <w:szCs w:val="20"/>
              </w:rPr>
            </w:pPr>
            <w:r>
              <w:rPr>
                <w:rFonts w:ascii="Arial" w:eastAsia="Calibri" w:hAnsi="Arial" w:cs="Arial"/>
                <w:szCs w:val="20"/>
              </w:rPr>
              <w:t xml:space="preserve">         SP2</w:t>
            </w:r>
          </w:p>
          <w:p w14:paraId="0DA86DB6" w14:textId="77777777" w:rsidR="001E4EF1" w:rsidRDefault="001E4EF1" w:rsidP="001E4EF1">
            <w:pPr>
              <w:spacing w:before="80" w:after="80"/>
              <w:ind w:right="-948"/>
              <w:contextualSpacing/>
              <w:rPr>
                <w:rFonts w:ascii="Arial" w:hAnsi="Arial" w:cs="Arial"/>
                <w:szCs w:val="20"/>
              </w:rPr>
            </w:pPr>
            <w:r>
              <w:rPr>
                <w:rFonts w:ascii="Arial" w:hAnsi="Arial" w:cs="Arial"/>
                <w:szCs w:val="20"/>
              </w:rPr>
              <w:t xml:space="preserve">  (Internal or </w:t>
            </w:r>
          </w:p>
          <w:p w14:paraId="11858868" w14:textId="77777777" w:rsidR="001E4EF1" w:rsidRPr="006F680D" w:rsidRDefault="001E4EF1" w:rsidP="001E4EF1">
            <w:pPr>
              <w:spacing w:before="80" w:after="80"/>
              <w:ind w:right="-948"/>
              <w:contextualSpacing/>
              <w:rPr>
                <w:rFonts w:ascii="Arial" w:eastAsia="Calibri" w:hAnsi="Arial" w:cs="Arial"/>
                <w:szCs w:val="20"/>
              </w:rPr>
            </w:pPr>
            <w:r>
              <w:rPr>
                <w:rFonts w:ascii="Arial" w:hAnsi="Arial" w:cs="Arial"/>
                <w:szCs w:val="20"/>
              </w:rPr>
              <w:t xml:space="preserve">     Online)</w:t>
            </w:r>
          </w:p>
        </w:tc>
      </w:tr>
      <w:tr w:rsidR="001E4EF1" w:rsidRPr="006F680D" w14:paraId="72A8C072" w14:textId="77777777" w:rsidTr="00500A03">
        <w:tc>
          <w:tcPr>
            <w:tcW w:w="1384" w:type="dxa"/>
            <w:vAlign w:val="center"/>
          </w:tcPr>
          <w:p w14:paraId="76EE9D16"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MATH 2024</w:t>
            </w:r>
          </w:p>
        </w:tc>
        <w:tc>
          <w:tcPr>
            <w:tcW w:w="6413" w:type="dxa"/>
            <w:gridSpan w:val="2"/>
            <w:vAlign w:val="center"/>
          </w:tcPr>
          <w:p w14:paraId="3B0D3CFE"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Mathematical Communication</w:t>
            </w:r>
          </w:p>
        </w:tc>
        <w:tc>
          <w:tcPr>
            <w:tcW w:w="1559" w:type="dxa"/>
            <w:vAlign w:val="center"/>
          </w:tcPr>
          <w:p w14:paraId="05E9BA9D" w14:textId="77777777" w:rsidR="001E4EF1" w:rsidRPr="006F680D" w:rsidRDefault="001E4EF1" w:rsidP="001E4EF1">
            <w:pPr>
              <w:spacing w:before="80" w:after="80"/>
              <w:ind w:right="-948"/>
              <w:contextualSpacing/>
              <w:rPr>
                <w:rFonts w:ascii="Arial" w:eastAsia="Calibri" w:hAnsi="Arial" w:cs="Arial"/>
                <w:szCs w:val="20"/>
              </w:rPr>
            </w:pPr>
            <w:r>
              <w:rPr>
                <w:rFonts w:ascii="Arial" w:eastAsia="Calibri" w:hAnsi="Arial" w:cs="Arial"/>
                <w:szCs w:val="20"/>
              </w:rPr>
              <w:t xml:space="preserve">         SP5</w:t>
            </w:r>
          </w:p>
        </w:tc>
      </w:tr>
      <w:tr w:rsidR="006F680D" w:rsidRPr="006F680D" w14:paraId="45CE3E68" w14:textId="77777777" w:rsidTr="00CD5134">
        <w:tc>
          <w:tcPr>
            <w:tcW w:w="9356" w:type="dxa"/>
            <w:gridSpan w:val="4"/>
            <w:vAlign w:val="center"/>
          </w:tcPr>
          <w:p w14:paraId="4EEBC415" w14:textId="77777777" w:rsidR="006F680D" w:rsidRPr="006F680D" w:rsidRDefault="006F680D" w:rsidP="006F680D">
            <w:pPr>
              <w:spacing w:before="80" w:after="80"/>
              <w:ind w:right="-948"/>
              <w:contextualSpacing/>
              <w:rPr>
                <w:rFonts w:ascii="Arial" w:eastAsia="Calibri" w:hAnsi="Arial" w:cs="Arial"/>
                <w:szCs w:val="20"/>
              </w:rPr>
            </w:pPr>
            <w:r w:rsidRPr="006F680D">
              <w:rPr>
                <w:rFonts w:ascii="Arial" w:eastAsia="Calibri" w:hAnsi="Arial" w:cs="Arial"/>
                <w:szCs w:val="20"/>
              </w:rPr>
              <w:t xml:space="preserve">Any </w:t>
            </w:r>
            <w:r w:rsidRPr="006F680D">
              <w:rPr>
                <w:rFonts w:ascii="Arial" w:eastAsia="Calibri" w:hAnsi="Arial" w:cs="Arial"/>
                <w:szCs w:val="20"/>
                <w:u w:val="single"/>
              </w:rPr>
              <w:t xml:space="preserve">one </w:t>
            </w:r>
            <w:r w:rsidRPr="006F680D">
              <w:rPr>
                <w:rFonts w:ascii="Arial" w:eastAsia="Calibri" w:hAnsi="Arial" w:cs="Arial"/>
                <w:szCs w:val="20"/>
              </w:rPr>
              <w:t>of the following:</w:t>
            </w:r>
          </w:p>
        </w:tc>
      </w:tr>
      <w:tr w:rsidR="001E4EF1" w:rsidRPr="006F680D" w14:paraId="28EFE371" w14:textId="77777777" w:rsidTr="00500A03">
        <w:tc>
          <w:tcPr>
            <w:tcW w:w="1384" w:type="dxa"/>
            <w:vMerge w:val="restart"/>
            <w:vAlign w:val="center"/>
          </w:tcPr>
          <w:p w14:paraId="143D0163" w14:textId="77777777" w:rsidR="001E4EF1" w:rsidRPr="006F680D" w:rsidRDefault="001E4EF1" w:rsidP="006F680D">
            <w:pPr>
              <w:spacing w:before="80" w:after="80"/>
              <w:contextualSpacing/>
              <w:rPr>
                <w:rFonts w:ascii="Arial" w:eastAsia="Calibri" w:hAnsi="Arial" w:cs="Arial"/>
                <w:szCs w:val="20"/>
              </w:rPr>
            </w:pPr>
          </w:p>
        </w:tc>
        <w:tc>
          <w:tcPr>
            <w:tcW w:w="1310" w:type="dxa"/>
            <w:vAlign w:val="center"/>
          </w:tcPr>
          <w:p w14:paraId="036AF222"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MATH 1040</w:t>
            </w:r>
          </w:p>
        </w:tc>
        <w:tc>
          <w:tcPr>
            <w:tcW w:w="5103" w:type="dxa"/>
            <w:vAlign w:val="center"/>
          </w:tcPr>
          <w:p w14:paraId="38D7BA8C"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Statistics for Laboratory Sciences</w:t>
            </w:r>
          </w:p>
        </w:tc>
        <w:tc>
          <w:tcPr>
            <w:tcW w:w="1559" w:type="dxa"/>
            <w:vAlign w:val="center"/>
          </w:tcPr>
          <w:p w14:paraId="471C6F8A" w14:textId="77777777" w:rsidR="001E4EF1" w:rsidRPr="006F680D" w:rsidRDefault="001E4EF1" w:rsidP="006F680D">
            <w:pPr>
              <w:spacing w:before="80" w:after="80"/>
              <w:ind w:right="-948"/>
              <w:contextualSpacing/>
              <w:rPr>
                <w:rFonts w:ascii="Arial" w:eastAsia="Calibri" w:hAnsi="Arial" w:cs="Arial"/>
                <w:szCs w:val="20"/>
              </w:rPr>
            </w:pPr>
            <w:r>
              <w:rPr>
                <w:rFonts w:ascii="Arial" w:eastAsia="Calibri" w:hAnsi="Arial" w:cs="Arial"/>
                <w:szCs w:val="20"/>
              </w:rPr>
              <w:t xml:space="preserve">         SP5</w:t>
            </w:r>
          </w:p>
        </w:tc>
      </w:tr>
      <w:tr w:rsidR="001E4EF1" w:rsidRPr="006F680D" w14:paraId="6B9CF1D2" w14:textId="77777777" w:rsidTr="00500A03">
        <w:tc>
          <w:tcPr>
            <w:tcW w:w="1384" w:type="dxa"/>
            <w:vMerge/>
            <w:vAlign w:val="center"/>
          </w:tcPr>
          <w:p w14:paraId="15F52585" w14:textId="77777777" w:rsidR="001E4EF1" w:rsidRPr="006F680D" w:rsidRDefault="001E4EF1" w:rsidP="006F680D">
            <w:pPr>
              <w:spacing w:before="80" w:after="80"/>
              <w:contextualSpacing/>
              <w:rPr>
                <w:rFonts w:ascii="Arial" w:eastAsia="Calibri" w:hAnsi="Arial" w:cs="Arial"/>
                <w:szCs w:val="20"/>
              </w:rPr>
            </w:pPr>
          </w:p>
        </w:tc>
        <w:tc>
          <w:tcPr>
            <w:tcW w:w="1310" w:type="dxa"/>
            <w:vAlign w:val="center"/>
          </w:tcPr>
          <w:p w14:paraId="78AD0D05"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MATH 1065</w:t>
            </w:r>
          </w:p>
        </w:tc>
        <w:tc>
          <w:tcPr>
            <w:tcW w:w="5103" w:type="dxa"/>
            <w:vAlign w:val="center"/>
          </w:tcPr>
          <w:p w14:paraId="21D97161"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Quantitative Methods in Health</w:t>
            </w:r>
          </w:p>
        </w:tc>
        <w:tc>
          <w:tcPr>
            <w:tcW w:w="1559" w:type="dxa"/>
            <w:vAlign w:val="center"/>
          </w:tcPr>
          <w:p w14:paraId="2DDF53C1" w14:textId="77777777" w:rsidR="001E4EF1" w:rsidRPr="006F680D" w:rsidRDefault="001E4EF1" w:rsidP="006F680D">
            <w:pPr>
              <w:spacing w:before="80" w:after="80"/>
              <w:contextualSpacing/>
              <w:jc w:val="center"/>
              <w:rPr>
                <w:rFonts w:ascii="Arial" w:eastAsia="Calibri" w:hAnsi="Arial" w:cs="Arial"/>
                <w:szCs w:val="20"/>
              </w:rPr>
            </w:pPr>
            <w:r>
              <w:rPr>
                <w:rFonts w:ascii="Arial" w:eastAsia="Calibri" w:hAnsi="Arial" w:cs="Arial"/>
                <w:szCs w:val="20"/>
              </w:rPr>
              <w:t>SP5</w:t>
            </w:r>
          </w:p>
        </w:tc>
      </w:tr>
      <w:tr w:rsidR="001E4EF1" w:rsidRPr="006F680D" w14:paraId="110839E9" w14:textId="77777777" w:rsidTr="00500A03">
        <w:tc>
          <w:tcPr>
            <w:tcW w:w="1384" w:type="dxa"/>
            <w:vMerge/>
            <w:tcBorders>
              <w:bottom w:val="single" w:sz="4" w:space="0" w:color="000000"/>
            </w:tcBorders>
            <w:vAlign w:val="center"/>
          </w:tcPr>
          <w:p w14:paraId="7EF5F5E7" w14:textId="77777777" w:rsidR="001E4EF1" w:rsidRPr="006F680D" w:rsidRDefault="001E4EF1" w:rsidP="006F680D">
            <w:pPr>
              <w:spacing w:before="80" w:after="80"/>
              <w:contextualSpacing/>
              <w:rPr>
                <w:rFonts w:ascii="Arial" w:eastAsia="Calibri" w:hAnsi="Arial" w:cs="Arial"/>
                <w:szCs w:val="20"/>
              </w:rPr>
            </w:pPr>
          </w:p>
        </w:tc>
        <w:tc>
          <w:tcPr>
            <w:tcW w:w="1310" w:type="dxa"/>
            <w:vAlign w:val="center"/>
          </w:tcPr>
          <w:p w14:paraId="3CE79F6C"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MATH 1068</w:t>
            </w:r>
          </w:p>
        </w:tc>
        <w:tc>
          <w:tcPr>
            <w:tcW w:w="5103" w:type="dxa"/>
            <w:vAlign w:val="center"/>
          </w:tcPr>
          <w:p w14:paraId="1CDBB97E" w14:textId="77777777" w:rsidR="001E4EF1" w:rsidRPr="006F680D" w:rsidRDefault="001E4EF1" w:rsidP="006F680D">
            <w:pPr>
              <w:spacing w:before="80" w:after="80"/>
              <w:contextualSpacing/>
              <w:rPr>
                <w:rFonts w:ascii="Arial" w:eastAsia="Calibri" w:hAnsi="Arial" w:cs="Arial"/>
                <w:szCs w:val="20"/>
              </w:rPr>
            </w:pPr>
            <w:r w:rsidRPr="006F680D">
              <w:rPr>
                <w:rFonts w:ascii="Arial" w:eastAsia="Calibri" w:hAnsi="Arial" w:cs="Arial"/>
                <w:szCs w:val="20"/>
              </w:rPr>
              <w:t xml:space="preserve">Statistical Methods </w:t>
            </w:r>
          </w:p>
        </w:tc>
        <w:tc>
          <w:tcPr>
            <w:tcW w:w="1559" w:type="dxa"/>
            <w:vAlign w:val="center"/>
          </w:tcPr>
          <w:p w14:paraId="3467E6A6" w14:textId="77777777" w:rsidR="001E4EF1" w:rsidRPr="006F680D" w:rsidRDefault="001E4EF1" w:rsidP="006F680D">
            <w:pPr>
              <w:spacing w:before="80" w:after="80"/>
              <w:contextualSpacing/>
              <w:jc w:val="center"/>
              <w:rPr>
                <w:rFonts w:ascii="Arial" w:eastAsia="Calibri" w:hAnsi="Arial" w:cs="Arial"/>
                <w:szCs w:val="20"/>
              </w:rPr>
            </w:pPr>
            <w:r>
              <w:rPr>
                <w:rFonts w:ascii="Arial" w:eastAsia="Calibri" w:hAnsi="Arial" w:cs="Arial"/>
                <w:szCs w:val="20"/>
              </w:rPr>
              <w:t>SP2</w:t>
            </w:r>
          </w:p>
        </w:tc>
      </w:tr>
      <w:tr w:rsidR="006F680D" w:rsidRPr="006F680D" w14:paraId="638F05CC" w14:textId="77777777" w:rsidTr="00CD5134">
        <w:trPr>
          <w:trHeight w:val="498"/>
        </w:trPr>
        <w:tc>
          <w:tcPr>
            <w:tcW w:w="1384" w:type="dxa"/>
            <w:tcBorders>
              <w:right w:val="nil"/>
            </w:tcBorders>
            <w:vAlign w:val="center"/>
          </w:tcPr>
          <w:p w14:paraId="03A25DB0" w14:textId="77777777" w:rsidR="006F680D" w:rsidRPr="006F680D" w:rsidRDefault="006F680D" w:rsidP="006F680D">
            <w:pPr>
              <w:spacing w:before="80" w:after="80"/>
              <w:contextualSpacing/>
              <w:rPr>
                <w:rFonts w:ascii="Arial" w:eastAsia="Calibri" w:hAnsi="Arial" w:cs="Arial"/>
                <w:szCs w:val="20"/>
              </w:rPr>
            </w:pPr>
          </w:p>
        </w:tc>
        <w:tc>
          <w:tcPr>
            <w:tcW w:w="7972" w:type="dxa"/>
            <w:gridSpan w:val="3"/>
            <w:tcBorders>
              <w:left w:val="nil"/>
            </w:tcBorders>
            <w:vAlign w:val="center"/>
          </w:tcPr>
          <w:p w14:paraId="06F0EBB4" w14:textId="77777777" w:rsidR="006F680D" w:rsidRPr="006F680D" w:rsidRDefault="006F680D" w:rsidP="006F680D">
            <w:pPr>
              <w:spacing w:before="80" w:after="80"/>
              <w:contextualSpacing/>
              <w:rPr>
                <w:rFonts w:ascii="Arial" w:eastAsia="Calibri" w:hAnsi="Arial" w:cs="Arial"/>
                <w:szCs w:val="20"/>
              </w:rPr>
            </w:pPr>
            <w:r w:rsidRPr="006F680D">
              <w:rPr>
                <w:rFonts w:ascii="Arial" w:eastAsia="Calibri" w:hAnsi="Arial" w:cs="Arial"/>
                <w:szCs w:val="20"/>
              </w:rPr>
              <w:t xml:space="preserve">Students intending to enrol in MATH 1053 and any one of MATH 1040, 1065, 1068 should take MATH 1053 </w:t>
            </w:r>
            <w:r w:rsidRPr="006F680D">
              <w:rPr>
                <w:rFonts w:ascii="Arial" w:eastAsia="Calibri" w:hAnsi="Arial" w:cs="Arial"/>
                <w:szCs w:val="20"/>
                <w:u w:val="single"/>
              </w:rPr>
              <w:t>first</w:t>
            </w:r>
            <w:r w:rsidRPr="006F680D">
              <w:rPr>
                <w:rFonts w:ascii="Arial" w:eastAsia="Calibri" w:hAnsi="Arial" w:cs="Arial"/>
                <w:szCs w:val="20"/>
              </w:rPr>
              <w:t>.</w:t>
            </w:r>
          </w:p>
        </w:tc>
      </w:tr>
    </w:tbl>
    <w:p w14:paraId="0DB722DF" w14:textId="77777777" w:rsidR="00E316EA" w:rsidRDefault="00E316EA" w:rsidP="00E316EA">
      <w:pPr>
        <w:rPr>
          <w:rStyle w:val="Hyperlink"/>
          <w:rFonts w:ascii="Calibri" w:hAnsi="Calibri" w:cs="Calibri"/>
          <w:b/>
          <w:sz w:val="26"/>
          <w:szCs w:val="26"/>
        </w:rPr>
      </w:pPr>
    </w:p>
    <w:p w14:paraId="6A0944EA" w14:textId="77777777" w:rsidR="00E316EA" w:rsidRPr="00FC1A0D" w:rsidRDefault="00E316EA" w:rsidP="00E316EA">
      <w:pPr>
        <w:rPr>
          <w:rFonts w:ascii="Calibri" w:hAnsi="Calibri" w:cs="Calibri"/>
          <w:b/>
          <w:sz w:val="28"/>
        </w:rPr>
      </w:pPr>
      <w:bookmarkStart w:id="2" w:name="_Hlk79070652"/>
      <w:r w:rsidRPr="00FC1A0D">
        <w:rPr>
          <w:rStyle w:val="Hyperlink"/>
          <w:rFonts w:ascii="Calibri" w:hAnsi="Calibri" w:cs="Calibri"/>
          <w:b/>
          <w:color w:val="000000"/>
          <w:sz w:val="28"/>
        </w:rPr>
        <w:t>Enrolment advice / Study Plan Email:</w:t>
      </w:r>
      <w:r w:rsidRPr="00FC1A0D">
        <w:rPr>
          <w:rStyle w:val="Hyperlink"/>
          <w:rFonts w:ascii="Calibri" w:hAnsi="Calibri" w:cs="Calibri"/>
          <w:b/>
          <w:sz w:val="28"/>
          <w:u w:val="none"/>
        </w:rPr>
        <w:t xml:space="preserve"> </w:t>
      </w:r>
      <w:hyperlink r:id="rId9" w:history="1">
        <w:r w:rsidRPr="00FC1A0D">
          <w:rPr>
            <w:rStyle w:val="Hyperlink"/>
            <w:rFonts w:ascii="Calibri" w:hAnsi="Calibri" w:cs="Calibri"/>
            <w:b/>
            <w:sz w:val="28"/>
          </w:rPr>
          <w:t>EDC-TeachingLearning@unisa.edu.au</w:t>
        </w:r>
      </w:hyperlink>
      <w:r w:rsidRPr="00FC1A0D">
        <w:rPr>
          <w:rStyle w:val="Hyperlink"/>
          <w:rFonts w:ascii="Calibri" w:hAnsi="Calibri" w:cs="Calibri"/>
          <w:b/>
          <w:sz w:val="28"/>
        </w:rPr>
        <w:t xml:space="preserve"> </w:t>
      </w:r>
    </w:p>
    <w:bookmarkEnd w:id="2"/>
    <w:p w14:paraId="17BF3785" w14:textId="2DA4289F" w:rsidR="001E4EF1" w:rsidRPr="00C25562" w:rsidRDefault="00C25562" w:rsidP="00E316EA">
      <w:pPr>
        <w:rPr>
          <w:rFonts w:ascii="Calibri" w:hAnsi="Calibri" w:cs="Calibri"/>
          <w:b/>
          <w:sz w:val="26"/>
          <w:szCs w:val="26"/>
        </w:rPr>
      </w:pPr>
      <w:r w:rsidRPr="00C25562">
        <w:rPr>
          <w:rStyle w:val="Hyperlink"/>
          <w:rFonts w:ascii="Calibri" w:hAnsi="Calibri" w:cs="Calibri"/>
          <w:b/>
          <w:sz w:val="26"/>
          <w:szCs w:val="26"/>
        </w:rPr>
        <w:t xml:space="preserve"> </w:t>
      </w:r>
    </w:p>
    <w:sectPr w:rsidR="001E4EF1" w:rsidRPr="00C25562" w:rsidSect="0059428F">
      <w:pgSz w:w="11906" w:h="16838"/>
      <w:pgMar w:top="624" w:right="179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A912D" w14:textId="77777777" w:rsidR="00F36971" w:rsidRDefault="00F36971">
      <w:r>
        <w:separator/>
      </w:r>
    </w:p>
  </w:endnote>
  <w:endnote w:type="continuationSeparator" w:id="0">
    <w:p w14:paraId="223F1840" w14:textId="77777777" w:rsidR="00F36971" w:rsidRDefault="00F3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0DB0" w14:textId="77777777" w:rsidR="00F36971" w:rsidRDefault="00F36971">
      <w:r>
        <w:separator/>
      </w:r>
    </w:p>
  </w:footnote>
  <w:footnote w:type="continuationSeparator" w:id="0">
    <w:p w14:paraId="7FEE8CDF" w14:textId="77777777" w:rsidR="00F36971" w:rsidRDefault="00F3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5D19"/>
    <w:multiLevelType w:val="hybridMultilevel"/>
    <w:tmpl w:val="8C18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D4B"/>
    <w:multiLevelType w:val="hybridMultilevel"/>
    <w:tmpl w:val="301ABE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5649E"/>
    <w:multiLevelType w:val="hybridMultilevel"/>
    <w:tmpl w:val="B5C4AB6A"/>
    <w:lvl w:ilvl="0" w:tplc="F57093C8">
      <w:start w:val="9"/>
      <w:numFmt w:val="bullet"/>
      <w:lvlText w:val="-"/>
      <w:lvlJc w:val="left"/>
      <w:pPr>
        <w:tabs>
          <w:tab w:val="num" w:pos="420"/>
        </w:tabs>
        <w:ind w:left="4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E66D3"/>
    <w:multiLevelType w:val="hybridMultilevel"/>
    <w:tmpl w:val="FF96E28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D8"/>
    <w:rsid w:val="00011A2E"/>
    <w:rsid w:val="0004139E"/>
    <w:rsid w:val="00043BAE"/>
    <w:rsid w:val="00046F83"/>
    <w:rsid w:val="0008313D"/>
    <w:rsid w:val="00083E79"/>
    <w:rsid w:val="00091675"/>
    <w:rsid w:val="00094205"/>
    <w:rsid w:val="000A2CFD"/>
    <w:rsid w:val="000C4CA3"/>
    <w:rsid w:val="000E594C"/>
    <w:rsid w:val="000F1BC4"/>
    <w:rsid w:val="00103281"/>
    <w:rsid w:val="00103BA7"/>
    <w:rsid w:val="00104A23"/>
    <w:rsid w:val="00116B99"/>
    <w:rsid w:val="00117463"/>
    <w:rsid w:val="00117CA3"/>
    <w:rsid w:val="00122508"/>
    <w:rsid w:val="00126897"/>
    <w:rsid w:val="001275E2"/>
    <w:rsid w:val="00131875"/>
    <w:rsid w:val="00140B43"/>
    <w:rsid w:val="00147341"/>
    <w:rsid w:val="00154DC0"/>
    <w:rsid w:val="00156019"/>
    <w:rsid w:val="00186E90"/>
    <w:rsid w:val="00186F4B"/>
    <w:rsid w:val="0019364A"/>
    <w:rsid w:val="001A559E"/>
    <w:rsid w:val="001B37B5"/>
    <w:rsid w:val="001B6E2A"/>
    <w:rsid w:val="001E4EF1"/>
    <w:rsid w:val="001F4FB5"/>
    <w:rsid w:val="001F589F"/>
    <w:rsid w:val="001F7AD6"/>
    <w:rsid w:val="002037CC"/>
    <w:rsid w:val="00241FA6"/>
    <w:rsid w:val="00247923"/>
    <w:rsid w:val="00286575"/>
    <w:rsid w:val="002A1029"/>
    <w:rsid w:val="002A7DFA"/>
    <w:rsid w:val="002B3D15"/>
    <w:rsid w:val="002C2AE1"/>
    <w:rsid w:val="002C3092"/>
    <w:rsid w:val="002C55AF"/>
    <w:rsid w:val="002D1D8A"/>
    <w:rsid w:val="002D4348"/>
    <w:rsid w:val="002F0DEE"/>
    <w:rsid w:val="00301215"/>
    <w:rsid w:val="00304513"/>
    <w:rsid w:val="00305BC7"/>
    <w:rsid w:val="00307C16"/>
    <w:rsid w:val="00324C5A"/>
    <w:rsid w:val="0032606E"/>
    <w:rsid w:val="003409D4"/>
    <w:rsid w:val="0034341A"/>
    <w:rsid w:val="00347D13"/>
    <w:rsid w:val="0037270F"/>
    <w:rsid w:val="003748F3"/>
    <w:rsid w:val="00390E92"/>
    <w:rsid w:val="003E1CEF"/>
    <w:rsid w:val="003E2F8B"/>
    <w:rsid w:val="003F217B"/>
    <w:rsid w:val="004034E6"/>
    <w:rsid w:val="0040487A"/>
    <w:rsid w:val="00417795"/>
    <w:rsid w:val="004375E1"/>
    <w:rsid w:val="00460DEC"/>
    <w:rsid w:val="00481BBE"/>
    <w:rsid w:val="004873C4"/>
    <w:rsid w:val="00492B60"/>
    <w:rsid w:val="004C1439"/>
    <w:rsid w:val="004D333B"/>
    <w:rsid w:val="004D5CBC"/>
    <w:rsid w:val="004D613E"/>
    <w:rsid w:val="004E22A3"/>
    <w:rsid w:val="004E2B61"/>
    <w:rsid w:val="004E5B38"/>
    <w:rsid w:val="004E7CCA"/>
    <w:rsid w:val="004F1922"/>
    <w:rsid w:val="00500A03"/>
    <w:rsid w:val="00520972"/>
    <w:rsid w:val="00545F9E"/>
    <w:rsid w:val="005577A0"/>
    <w:rsid w:val="00565EED"/>
    <w:rsid w:val="005714A7"/>
    <w:rsid w:val="0059428F"/>
    <w:rsid w:val="005B6BB5"/>
    <w:rsid w:val="005C7845"/>
    <w:rsid w:val="005F7BF4"/>
    <w:rsid w:val="0063640A"/>
    <w:rsid w:val="00655E8F"/>
    <w:rsid w:val="00663FC7"/>
    <w:rsid w:val="00681D03"/>
    <w:rsid w:val="00692CDA"/>
    <w:rsid w:val="00697399"/>
    <w:rsid w:val="006A2A53"/>
    <w:rsid w:val="006B1017"/>
    <w:rsid w:val="006C7790"/>
    <w:rsid w:val="006E0CC3"/>
    <w:rsid w:val="006F680D"/>
    <w:rsid w:val="0072785F"/>
    <w:rsid w:val="00747293"/>
    <w:rsid w:val="00756E9A"/>
    <w:rsid w:val="007609D4"/>
    <w:rsid w:val="00762EA5"/>
    <w:rsid w:val="00791E43"/>
    <w:rsid w:val="007963D8"/>
    <w:rsid w:val="007B296E"/>
    <w:rsid w:val="007B6AD7"/>
    <w:rsid w:val="007C5734"/>
    <w:rsid w:val="007E1E7C"/>
    <w:rsid w:val="007E2A37"/>
    <w:rsid w:val="007F6FCD"/>
    <w:rsid w:val="007F767D"/>
    <w:rsid w:val="00802353"/>
    <w:rsid w:val="00813B16"/>
    <w:rsid w:val="00813E23"/>
    <w:rsid w:val="00814077"/>
    <w:rsid w:val="008410C9"/>
    <w:rsid w:val="00851C04"/>
    <w:rsid w:val="00872537"/>
    <w:rsid w:val="00875818"/>
    <w:rsid w:val="00882630"/>
    <w:rsid w:val="00882D5D"/>
    <w:rsid w:val="00892348"/>
    <w:rsid w:val="008A7129"/>
    <w:rsid w:val="008C0FDF"/>
    <w:rsid w:val="008C16B4"/>
    <w:rsid w:val="008C1879"/>
    <w:rsid w:val="008D1FEC"/>
    <w:rsid w:val="008F67C8"/>
    <w:rsid w:val="00903120"/>
    <w:rsid w:val="00903D60"/>
    <w:rsid w:val="0091772B"/>
    <w:rsid w:val="00917964"/>
    <w:rsid w:val="00917B30"/>
    <w:rsid w:val="0092743D"/>
    <w:rsid w:val="00963EA2"/>
    <w:rsid w:val="009669CB"/>
    <w:rsid w:val="00972A59"/>
    <w:rsid w:val="009952FD"/>
    <w:rsid w:val="009E069E"/>
    <w:rsid w:val="009E7E52"/>
    <w:rsid w:val="009F430E"/>
    <w:rsid w:val="00A069B0"/>
    <w:rsid w:val="00A13E51"/>
    <w:rsid w:val="00A16FFE"/>
    <w:rsid w:val="00A51111"/>
    <w:rsid w:val="00A82D63"/>
    <w:rsid w:val="00A871C7"/>
    <w:rsid w:val="00A93D28"/>
    <w:rsid w:val="00AA70F0"/>
    <w:rsid w:val="00AB4824"/>
    <w:rsid w:val="00AB5358"/>
    <w:rsid w:val="00AD134A"/>
    <w:rsid w:val="00AD2EFC"/>
    <w:rsid w:val="00AE39D6"/>
    <w:rsid w:val="00AE3A4F"/>
    <w:rsid w:val="00AE4FDF"/>
    <w:rsid w:val="00B05EC1"/>
    <w:rsid w:val="00B12EA3"/>
    <w:rsid w:val="00B16021"/>
    <w:rsid w:val="00B23680"/>
    <w:rsid w:val="00B340B9"/>
    <w:rsid w:val="00B429FB"/>
    <w:rsid w:val="00B543E4"/>
    <w:rsid w:val="00B74190"/>
    <w:rsid w:val="00B74666"/>
    <w:rsid w:val="00B92D41"/>
    <w:rsid w:val="00B9310D"/>
    <w:rsid w:val="00B936C8"/>
    <w:rsid w:val="00BA3ACB"/>
    <w:rsid w:val="00BA442C"/>
    <w:rsid w:val="00BB7BF9"/>
    <w:rsid w:val="00BC0DA1"/>
    <w:rsid w:val="00BC6D70"/>
    <w:rsid w:val="00BC7632"/>
    <w:rsid w:val="00BD1F01"/>
    <w:rsid w:val="00BD26EC"/>
    <w:rsid w:val="00C2255C"/>
    <w:rsid w:val="00C2441C"/>
    <w:rsid w:val="00C25562"/>
    <w:rsid w:val="00C32A6C"/>
    <w:rsid w:val="00C33679"/>
    <w:rsid w:val="00C4053E"/>
    <w:rsid w:val="00C47DA0"/>
    <w:rsid w:val="00C640E5"/>
    <w:rsid w:val="00C66242"/>
    <w:rsid w:val="00C775C6"/>
    <w:rsid w:val="00CB69D8"/>
    <w:rsid w:val="00CC6B6D"/>
    <w:rsid w:val="00CD199D"/>
    <w:rsid w:val="00CD5134"/>
    <w:rsid w:val="00CE13EC"/>
    <w:rsid w:val="00CF7F9E"/>
    <w:rsid w:val="00D12550"/>
    <w:rsid w:val="00D250D3"/>
    <w:rsid w:val="00D27E66"/>
    <w:rsid w:val="00D46ECE"/>
    <w:rsid w:val="00D5233E"/>
    <w:rsid w:val="00D85CA3"/>
    <w:rsid w:val="00D8620B"/>
    <w:rsid w:val="00D96E74"/>
    <w:rsid w:val="00DC1B3D"/>
    <w:rsid w:val="00DD5827"/>
    <w:rsid w:val="00DF72D6"/>
    <w:rsid w:val="00E113EF"/>
    <w:rsid w:val="00E1249D"/>
    <w:rsid w:val="00E1788C"/>
    <w:rsid w:val="00E30FEB"/>
    <w:rsid w:val="00E316EA"/>
    <w:rsid w:val="00E3192D"/>
    <w:rsid w:val="00E32CAD"/>
    <w:rsid w:val="00E33BD0"/>
    <w:rsid w:val="00E46F83"/>
    <w:rsid w:val="00E635BF"/>
    <w:rsid w:val="00E66702"/>
    <w:rsid w:val="00E71377"/>
    <w:rsid w:val="00E751D5"/>
    <w:rsid w:val="00EA0439"/>
    <w:rsid w:val="00EA456B"/>
    <w:rsid w:val="00EA60C4"/>
    <w:rsid w:val="00EB060B"/>
    <w:rsid w:val="00EB3983"/>
    <w:rsid w:val="00EC0191"/>
    <w:rsid w:val="00EC21BB"/>
    <w:rsid w:val="00EC4C35"/>
    <w:rsid w:val="00EC5BDB"/>
    <w:rsid w:val="00ED2206"/>
    <w:rsid w:val="00EF4423"/>
    <w:rsid w:val="00EF5493"/>
    <w:rsid w:val="00F3640C"/>
    <w:rsid w:val="00F36971"/>
    <w:rsid w:val="00F36AC5"/>
    <w:rsid w:val="00F42B75"/>
    <w:rsid w:val="00F44471"/>
    <w:rsid w:val="00F44E93"/>
    <w:rsid w:val="00F47554"/>
    <w:rsid w:val="00F55BE8"/>
    <w:rsid w:val="00F66CD6"/>
    <w:rsid w:val="00F92D9F"/>
    <w:rsid w:val="00FB12A0"/>
    <w:rsid w:val="00FB154F"/>
    <w:rsid w:val="00FD0316"/>
    <w:rsid w:val="00FE63A3"/>
    <w:rsid w:val="00FF0145"/>
    <w:rsid w:val="00FF24AC"/>
    <w:rsid w:val="00FF2B00"/>
    <w:rsid w:val="00FF62EA"/>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72E570"/>
  <w15:chartTrackingRefBased/>
  <w15:docId w15:val="{CED22222-F9F3-4F66-AD4F-7F351326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9D8"/>
    <w:rPr>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69D8"/>
    <w:pPr>
      <w:tabs>
        <w:tab w:val="center" w:pos="4153"/>
        <w:tab w:val="right" w:pos="8306"/>
      </w:tabs>
    </w:pPr>
  </w:style>
  <w:style w:type="paragraph" w:styleId="Footer">
    <w:name w:val="footer"/>
    <w:basedOn w:val="Normal"/>
    <w:rsid w:val="007C5734"/>
    <w:pPr>
      <w:tabs>
        <w:tab w:val="center" w:pos="4153"/>
        <w:tab w:val="right" w:pos="8306"/>
      </w:tabs>
    </w:pPr>
  </w:style>
  <w:style w:type="character" w:styleId="Hyperlink">
    <w:name w:val="Hyperlink"/>
    <w:rsid w:val="00B9310D"/>
    <w:rPr>
      <w:color w:val="0000FF"/>
      <w:u w:val="single"/>
    </w:rPr>
  </w:style>
  <w:style w:type="paragraph" w:styleId="BalloonText">
    <w:name w:val="Balloon Text"/>
    <w:basedOn w:val="Normal"/>
    <w:link w:val="BalloonTextChar"/>
    <w:rsid w:val="00417795"/>
    <w:rPr>
      <w:rFonts w:ascii="Tahoma" w:hAnsi="Tahoma" w:cs="Tahoma"/>
      <w:sz w:val="16"/>
      <w:szCs w:val="16"/>
    </w:rPr>
  </w:style>
  <w:style w:type="character" w:customStyle="1" w:styleId="BalloonTextChar">
    <w:name w:val="Balloon Text Char"/>
    <w:link w:val="BalloonText"/>
    <w:rsid w:val="00417795"/>
    <w:rPr>
      <w:rFonts w:ascii="Tahoma" w:hAnsi="Tahoma" w:cs="Tahoma"/>
      <w:sz w:val="16"/>
      <w:szCs w:val="16"/>
      <w:lang w:eastAsia="en-US"/>
    </w:rPr>
  </w:style>
  <w:style w:type="character" w:styleId="FollowedHyperlink">
    <w:name w:val="FollowedHyperlink"/>
    <w:rsid w:val="00C775C6"/>
    <w:rPr>
      <w:color w:val="800080"/>
      <w:u w:val="single"/>
    </w:rPr>
  </w:style>
  <w:style w:type="paragraph" w:customStyle="1" w:styleId="TemplateTextnormal">
    <w:name w:val="Template Text normal"/>
    <w:basedOn w:val="Normal"/>
    <w:rsid w:val="00B92D41"/>
    <w:pPr>
      <w:spacing w:before="160"/>
      <w:ind w:left="567"/>
    </w:pPr>
    <w:rPr>
      <w:rFonts w:ascii="Palatino Linotype" w:hAnsi="Palatino Linotype"/>
    </w:rPr>
  </w:style>
  <w:style w:type="paragraph" w:styleId="NormalWeb">
    <w:name w:val="Normal (Web)"/>
    <w:basedOn w:val="Normal"/>
    <w:rsid w:val="004D613E"/>
    <w:pPr>
      <w:spacing w:after="100" w:afterAutospacing="1" w:line="312" w:lineRule="auto"/>
    </w:pPr>
    <w:rPr>
      <w:rFonts w:ascii="Arial" w:hAnsi="Arial" w:cs="Arial"/>
      <w:color w:val="000000"/>
      <w:sz w:val="23"/>
      <w:szCs w:val="23"/>
      <w:lang w:eastAsia="en-AU"/>
    </w:rPr>
  </w:style>
  <w:style w:type="paragraph" w:styleId="ListParagraph">
    <w:name w:val="List Paragraph"/>
    <w:basedOn w:val="Normal"/>
    <w:uiPriority w:val="34"/>
    <w:qFormat/>
    <w:rsid w:val="00D27E66"/>
    <w:pPr>
      <w:spacing w:after="200"/>
      <w:ind w:left="720"/>
      <w:contextualSpacing/>
    </w:pPr>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42462">
      <w:bodyDiv w:val="1"/>
      <w:marLeft w:val="0"/>
      <w:marRight w:val="0"/>
      <w:marTop w:val="0"/>
      <w:marBottom w:val="0"/>
      <w:divBdr>
        <w:top w:val="none" w:sz="0" w:space="0" w:color="auto"/>
        <w:left w:val="none" w:sz="0" w:space="0" w:color="auto"/>
        <w:bottom w:val="none" w:sz="0" w:space="0" w:color="auto"/>
        <w:right w:val="none" w:sz="0" w:space="0" w:color="auto"/>
      </w:divBdr>
    </w:div>
    <w:div w:id="16958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C-TeachingLearning@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6909-78DA-4EF4-9AA4-C7D23DF1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UNISA</Company>
  <LinksUpToDate>false</LinksUpToDate>
  <CharactersWithSpaces>1654</CharactersWithSpaces>
  <SharedDoc>false</SharedDoc>
  <HLinks>
    <vt:vector size="12" baseType="variant">
      <vt:variant>
        <vt:i4>4784182</vt:i4>
      </vt:variant>
      <vt:variant>
        <vt:i4>3</vt:i4>
      </vt:variant>
      <vt:variant>
        <vt:i4>0</vt:i4>
      </vt:variant>
      <vt:variant>
        <vt:i4>5</vt:i4>
      </vt:variant>
      <vt:variant>
        <vt:lpwstr>mailto:UniSASchoolofEducation@unisa.edu.au</vt:lpwstr>
      </vt:variant>
      <vt:variant>
        <vt:lpwstr/>
      </vt:variant>
      <vt:variant>
        <vt:i4>1900609</vt:i4>
      </vt:variant>
      <vt:variant>
        <vt:i4>0</vt:i4>
      </vt:variant>
      <vt:variant>
        <vt:i4>0</vt:i4>
      </vt:variant>
      <vt:variant>
        <vt:i4>5</vt:i4>
      </vt:variant>
      <vt:variant>
        <vt:lpwstr>https://lo.unisa.edu.au/mod/page/view.php?id=1455759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DEASS</dc:creator>
  <cp:keywords/>
  <cp:lastModifiedBy>Louisa Armstrong</cp:lastModifiedBy>
  <cp:revision>2</cp:revision>
  <cp:lastPrinted>2012-08-03T05:21:00Z</cp:lastPrinted>
  <dcterms:created xsi:type="dcterms:W3CDTF">2021-08-05T06:39:00Z</dcterms:created>
  <dcterms:modified xsi:type="dcterms:W3CDTF">2021-08-05T06:39:00Z</dcterms:modified>
</cp:coreProperties>
</file>