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26" w:rsidRDefault="00FF0626">
      <w:pPr>
        <w:rPr>
          <w:sz w:val="28"/>
          <w:szCs w:val="28"/>
        </w:rPr>
      </w:pPr>
      <w:r>
        <w:rPr>
          <w:noProof/>
          <w:lang w:eastAsia="en-AU"/>
        </w:rPr>
        <mc:AlternateContent>
          <mc:Choice Requires="wps">
            <w:drawing>
              <wp:anchor distT="0" distB="0" distL="114300" distR="114300" simplePos="0" relativeHeight="251659264" behindDoc="0" locked="0" layoutInCell="1" allowOverlap="1" wp14:anchorId="0802B819" wp14:editId="6B5D52A6">
                <wp:simplePos x="0" y="0"/>
                <wp:positionH relativeFrom="margin">
                  <wp:align>left</wp:align>
                </wp:positionH>
                <wp:positionV relativeFrom="paragraph">
                  <wp:posOffset>0</wp:posOffset>
                </wp:positionV>
                <wp:extent cx="4564380" cy="9525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952500"/>
                        </a:xfrm>
                        <a:prstGeom prst="rect">
                          <a:avLst/>
                        </a:prstGeom>
                        <a:solidFill>
                          <a:srgbClr val="006699"/>
                        </a:solidFill>
                        <a:ln>
                          <a:noFill/>
                        </a:ln>
                        <a:extLst/>
                      </wps:spPr>
                      <wps:txbx>
                        <w:txbxContent>
                          <w:p w:rsidR="00FF0626" w:rsidRDefault="005C3D78" w:rsidP="00FF0626">
                            <w:pPr>
                              <w:spacing w:after="0" w:line="240" w:lineRule="auto"/>
                              <w:contextualSpacing/>
                              <w:rPr>
                                <w:rFonts w:ascii="Arial" w:hAnsi="Arial" w:cs="Arial"/>
                                <w:b/>
                                <w:color w:val="FFFFFF" w:themeColor="background1"/>
                                <w:sz w:val="36"/>
                                <w:szCs w:val="36"/>
                              </w:rPr>
                            </w:pPr>
                            <w:r>
                              <w:rPr>
                                <w:rFonts w:ascii="Calibri" w:hAnsi="Calibri" w:cs="Calibri"/>
                                <w:b/>
                                <w:color w:val="FFFFFF" w:themeColor="background1"/>
                                <w:sz w:val="24"/>
                                <w:szCs w:val="24"/>
                              </w:rPr>
                              <w:t>BEHL1004</w:t>
                            </w:r>
                            <w:r w:rsidR="00F23FC9">
                              <w:rPr>
                                <w:rFonts w:ascii="Calibri" w:hAnsi="Calibri" w:cs="Calibri"/>
                                <w:b/>
                                <w:color w:val="FFFFFF" w:themeColor="background1"/>
                                <w:sz w:val="24"/>
                                <w:szCs w:val="24"/>
                              </w:rPr>
                              <w:t>:</w:t>
                            </w:r>
                            <w:r w:rsidR="00FF0626">
                              <w:rPr>
                                <w:rFonts w:ascii="Calibri" w:hAnsi="Calibri" w:cs="Calibri"/>
                                <w:b/>
                                <w:color w:val="FFFFFF" w:themeColor="background1"/>
                                <w:sz w:val="24"/>
                                <w:szCs w:val="24"/>
                              </w:rPr>
                              <w:br/>
                            </w:r>
                            <w:r w:rsidR="00FF0626" w:rsidRPr="00FC75EF">
                              <w:rPr>
                                <w:rFonts w:ascii="Calibri" w:hAnsi="Calibri" w:cs="Calibri"/>
                                <w:b/>
                                <w:color w:val="FFFFFF" w:themeColor="background1"/>
                              </w:rPr>
                              <w:br/>
                            </w:r>
                            <w:r w:rsidR="00FF0626">
                              <w:rPr>
                                <w:rFonts w:ascii="Arial" w:hAnsi="Arial" w:cs="Arial"/>
                                <w:b/>
                                <w:color w:val="FFFFFF" w:themeColor="background1"/>
                                <w:sz w:val="36"/>
                                <w:szCs w:val="36"/>
                              </w:rPr>
                              <w:t>Major Essay</w:t>
                            </w:r>
                            <w:r w:rsidR="00FF0626">
                              <w:rPr>
                                <w:rFonts w:ascii="Arial" w:hAnsi="Arial" w:cs="Arial"/>
                                <w:b/>
                                <w:color w:val="FFFFFF" w:themeColor="background1"/>
                                <w:sz w:val="36"/>
                                <w:szCs w:val="36"/>
                              </w:rPr>
                              <w:br/>
                              <w:t xml:space="preserve">    </w:t>
                            </w:r>
                            <w:r w:rsidR="00FF0626" w:rsidRPr="00FF0626">
                              <w:rPr>
                                <w:rFonts w:ascii="Arial" w:hAnsi="Arial" w:cs="Arial"/>
                                <w:b/>
                                <w:color w:val="FFFFFF" w:themeColor="background1"/>
                                <w:sz w:val="28"/>
                                <w:szCs w:val="28"/>
                              </w:rPr>
                              <w:t>Part 1:</w:t>
                            </w:r>
                            <w:r w:rsidR="00FF0626">
                              <w:rPr>
                                <w:rFonts w:ascii="Arial" w:hAnsi="Arial" w:cs="Arial"/>
                                <w:b/>
                                <w:color w:val="FFFFFF" w:themeColor="background1"/>
                                <w:sz w:val="36"/>
                                <w:szCs w:val="36"/>
                              </w:rPr>
                              <w:t xml:space="preserve"> </w:t>
                            </w:r>
                            <w:r w:rsidR="00FF0626">
                              <w:rPr>
                                <w:rFonts w:ascii="Arial" w:hAnsi="Arial" w:cs="Arial"/>
                                <w:b/>
                                <w:color w:val="FFFFFF" w:themeColor="background1"/>
                                <w:sz w:val="28"/>
                                <w:szCs w:val="28"/>
                              </w:rPr>
                              <w:t>The Essay Plan</w:t>
                            </w:r>
                          </w:p>
                          <w:p w:rsidR="00FF0626" w:rsidRPr="00FC75EF" w:rsidRDefault="00FF0626" w:rsidP="00FF0626">
                            <w:pPr>
                              <w:spacing w:after="0" w:line="240" w:lineRule="auto"/>
                              <w:contextualSpacing/>
                              <w:rPr>
                                <w:rFonts w:ascii="Calibri" w:hAnsi="Calibri" w:cs="Calibri"/>
                                <w:b/>
                                <w:color w:val="FFFFFF" w:themeColor="background1"/>
                                <w:sz w:val="40"/>
                                <w:szCs w:val="40"/>
                              </w:rPr>
                            </w:pPr>
                          </w:p>
                          <w:p w:rsidR="00FF0626" w:rsidRPr="00FC75EF" w:rsidRDefault="00FF0626" w:rsidP="00FF0626">
                            <w:pPr>
                              <w:rPr>
                                <w:rFonts w:ascii="Calibri" w:hAnsi="Calibri" w:cs="Calibri"/>
                                <w:b/>
                                <w:color w:val="FFFFFF" w:themeColor="background1"/>
                                <w:sz w:val="28"/>
                                <w:szCs w:val="28"/>
                              </w:rPr>
                            </w:pPr>
                          </w:p>
                          <w:p w:rsidR="00FF0626" w:rsidRPr="003F398D" w:rsidRDefault="00FF0626" w:rsidP="00FF0626">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2B819" id="_x0000_t202" coordsize="21600,21600" o:spt="202" path="m,l,21600r21600,l21600,xe">
                <v:stroke joinstyle="miter"/>
                <v:path gradientshapeok="t" o:connecttype="rect"/>
              </v:shapetype>
              <v:shape id="Text Box 2" o:spid="_x0000_s1026" type="#_x0000_t202" style="position:absolute;margin-left:0;margin-top:0;width:359.4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" fillcolor="#069" stroked="f">
                <v:textbox>
                  <w:txbxContent>
                    <w:p w:rsidR="00FF0626" w:rsidRDefault="005C3D78" w:rsidP="00FF0626">
                      <w:pPr>
                        <w:spacing w:after="0" w:line="240" w:lineRule="auto"/>
                        <w:contextualSpacing/>
                        <w:rPr>
                          <w:rFonts w:ascii="Arial" w:hAnsi="Arial" w:cs="Arial"/>
                          <w:b/>
                          <w:color w:val="FFFFFF" w:themeColor="background1"/>
                          <w:sz w:val="36"/>
                          <w:szCs w:val="36"/>
                        </w:rPr>
                      </w:pPr>
                      <w:r>
                        <w:rPr>
                          <w:rFonts w:ascii="Calibri" w:hAnsi="Calibri" w:cs="Calibri"/>
                          <w:b/>
                          <w:color w:val="FFFFFF" w:themeColor="background1"/>
                          <w:sz w:val="24"/>
                          <w:szCs w:val="24"/>
                        </w:rPr>
                        <w:t>BEHL1004</w:t>
                      </w:r>
                      <w:bookmarkStart w:id="1" w:name="_GoBack"/>
                      <w:bookmarkEnd w:id="1"/>
                      <w:r w:rsidR="00F23FC9">
                        <w:rPr>
                          <w:rFonts w:ascii="Calibri" w:hAnsi="Calibri" w:cs="Calibri"/>
                          <w:b/>
                          <w:color w:val="FFFFFF" w:themeColor="background1"/>
                          <w:sz w:val="24"/>
                          <w:szCs w:val="24"/>
                        </w:rPr>
                        <w:t>:</w:t>
                      </w:r>
                      <w:r w:rsidR="00FF0626">
                        <w:rPr>
                          <w:rFonts w:ascii="Calibri" w:hAnsi="Calibri" w:cs="Calibri"/>
                          <w:b/>
                          <w:color w:val="FFFFFF" w:themeColor="background1"/>
                          <w:sz w:val="24"/>
                          <w:szCs w:val="24"/>
                        </w:rPr>
                        <w:br/>
                      </w:r>
                      <w:r w:rsidR="00FF0626" w:rsidRPr="00FC75EF">
                        <w:rPr>
                          <w:rFonts w:ascii="Calibri" w:hAnsi="Calibri" w:cs="Calibri"/>
                          <w:b/>
                          <w:color w:val="FFFFFF" w:themeColor="background1"/>
                        </w:rPr>
                        <w:br/>
                      </w:r>
                      <w:r w:rsidR="00FF0626">
                        <w:rPr>
                          <w:rFonts w:ascii="Arial" w:hAnsi="Arial" w:cs="Arial"/>
                          <w:b/>
                          <w:color w:val="FFFFFF" w:themeColor="background1"/>
                          <w:sz w:val="36"/>
                          <w:szCs w:val="36"/>
                        </w:rPr>
                        <w:t>Major Essay</w:t>
                      </w:r>
                      <w:r w:rsidR="00FF0626">
                        <w:rPr>
                          <w:rFonts w:ascii="Arial" w:hAnsi="Arial" w:cs="Arial"/>
                          <w:b/>
                          <w:color w:val="FFFFFF" w:themeColor="background1"/>
                          <w:sz w:val="36"/>
                          <w:szCs w:val="36"/>
                        </w:rPr>
                        <w:br/>
                        <w:t xml:space="preserve">    </w:t>
                      </w:r>
                      <w:r w:rsidR="00FF0626" w:rsidRPr="00FF0626">
                        <w:rPr>
                          <w:rFonts w:ascii="Arial" w:hAnsi="Arial" w:cs="Arial"/>
                          <w:b/>
                          <w:color w:val="FFFFFF" w:themeColor="background1"/>
                          <w:sz w:val="28"/>
                          <w:szCs w:val="28"/>
                        </w:rPr>
                        <w:t>Part 1:</w:t>
                      </w:r>
                      <w:r w:rsidR="00FF0626">
                        <w:rPr>
                          <w:rFonts w:ascii="Arial" w:hAnsi="Arial" w:cs="Arial"/>
                          <w:b/>
                          <w:color w:val="FFFFFF" w:themeColor="background1"/>
                          <w:sz w:val="36"/>
                          <w:szCs w:val="36"/>
                        </w:rPr>
                        <w:t xml:space="preserve"> </w:t>
                      </w:r>
                      <w:r w:rsidR="00FF0626">
                        <w:rPr>
                          <w:rFonts w:ascii="Arial" w:hAnsi="Arial" w:cs="Arial"/>
                          <w:b/>
                          <w:color w:val="FFFFFF" w:themeColor="background1"/>
                          <w:sz w:val="28"/>
                          <w:szCs w:val="28"/>
                        </w:rPr>
                        <w:t>The Essay Plan</w:t>
                      </w:r>
                    </w:p>
                    <w:p w:rsidR="00FF0626" w:rsidRPr="00FC75EF" w:rsidRDefault="00FF0626" w:rsidP="00FF0626">
                      <w:pPr>
                        <w:spacing w:after="0" w:line="240" w:lineRule="auto"/>
                        <w:contextualSpacing/>
                        <w:rPr>
                          <w:rFonts w:ascii="Calibri" w:hAnsi="Calibri" w:cs="Calibri"/>
                          <w:b/>
                          <w:color w:val="FFFFFF" w:themeColor="background1"/>
                          <w:sz w:val="40"/>
                          <w:szCs w:val="40"/>
                        </w:rPr>
                      </w:pPr>
                    </w:p>
                    <w:p w:rsidR="00FF0626" w:rsidRPr="00FC75EF" w:rsidRDefault="00FF0626" w:rsidP="00FF0626">
                      <w:pPr>
                        <w:rPr>
                          <w:rFonts w:ascii="Calibri" w:hAnsi="Calibri" w:cs="Calibri"/>
                          <w:b/>
                          <w:color w:val="FFFFFF" w:themeColor="background1"/>
                          <w:sz w:val="28"/>
                          <w:szCs w:val="28"/>
                        </w:rPr>
                      </w:pPr>
                    </w:p>
                    <w:p w:rsidR="00FF0626" w:rsidRPr="003F398D" w:rsidRDefault="00FF0626" w:rsidP="00FF0626">
                      <w:pPr>
                        <w:rPr>
                          <w:rFonts w:ascii="Calibri" w:hAnsi="Calibri" w:cs="Calibri"/>
                          <w:sz w:val="28"/>
                          <w:szCs w:val="28"/>
                        </w:rPr>
                      </w:pPr>
                    </w:p>
                  </w:txbxContent>
                </v:textbox>
                <w10:wrap anchorx="margin"/>
              </v:shape>
            </w:pict>
          </mc:Fallback>
        </mc:AlternateContent>
      </w:r>
      <w:r>
        <w:rPr>
          <w:sz w:val="28"/>
          <w:szCs w:val="28"/>
        </w:rPr>
        <w:t xml:space="preserve">                                                                                                                   </w:t>
      </w:r>
      <w:r>
        <w:rPr>
          <w:rFonts w:ascii="Calibri" w:hAnsi="Calibri"/>
          <w:b/>
          <w:noProof/>
          <w:lang w:eastAsia="en-AU"/>
        </w:rPr>
        <w:drawing>
          <wp:inline distT="0" distB="0" distL="0" distR="0" wp14:anchorId="39E30A1D" wp14:editId="5607BF2B">
            <wp:extent cx="10763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p w:rsidR="00FF0626" w:rsidRDefault="00FF0626">
      <w:pPr>
        <w:rPr>
          <w:sz w:val="28"/>
          <w:szCs w:val="28"/>
        </w:rPr>
      </w:pPr>
    </w:p>
    <w:p w:rsidR="00A672E3" w:rsidRPr="000E5D37" w:rsidRDefault="004E1AA4">
      <w:pPr>
        <w:rPr>
          <w:b/>
          <w:sz w:val="28"/>
          <w:szCs w:val="28"/>
        </w:rPr>
      </w:pPr>
      <w:r w:rsidRPr="000E5D37">
        <w:rPr>
          <w:b/>
          <w:sz w:val="28"/>
          <w:szCs w:val="28"/>
        </w:rPr>
        <w:t>Sample essay plan</w:t>
      </w:r>
      <w:r w:rsidR="000E5D37">
        <w:rPr>
          <w:b/>
          <w:sz w:val="28"/>
          <w:szCs w:val="28"/>
        </w:rPr>
        <w:br/>
      </w:r>
    </w:p>
    <w:p w:rsidR="00F23FC9" w:rsidRDefault="00F23FC9" w:rsidP="00F23FC9">
      <w:pPr>
        <w:spacing w:after="0" w:line="240" w:lineRule="auto"/>
        <w:contextualSpacing/>
        <w:rPr>
          <w:sz w:val="28"/>
          <w:szCs w:val="28"/>
        </w:rPr>
      </w:pPr>
      <w:r>
        <w:rPr>
          <w:sz w:val="28"/>
          <w:szCs w:val="28"/>
        </w:rPr>
        <w:t xml:space="preserve">Essay topic: Explain the psychological and social/cultural </w:t>
      </w:r>
      <w:r w:rsidR="000E5D37">
        <w:rPr>
          <w:sz w:val="28"/>
          <w:szCs w:val="28"/>
        </w:rPr>
        <w:t>factors that influence an</w:t>
      </w:r>
      <w:r>
        <w:rPr>
          <w:sz w:val="28"/>
          <w:szCs w:val="28"/>
        </w:rPr>
        <w:t xml:space="preserve"> individual’s experience of pain</w:t>
      </w:r>
    </w:p>
    <w:p w:rsidR="00F23FC9" w:rsidRDefault="00F23FC9">
      <w:pPr>
        <w:rPr>
          <w:b/>
          <w:sz w:val="28"/>
          <w:szCs w:val="28"/>
        </w:rPr>
      </w:pPr>
    </w:p>
    <w:p w:rsidR="006669D4" w:rsidRPr="00FF0626" w:rsidRDefault="006669D4">
      <w:pPr>
        <w:rPr>
          <w:b/>
          <w:sz w:val="28"/>
          <w:szCs w:val="28"/>
        </w:rPr>
      </w:pPr>
      <w:r w:rsidRPr="00FF0626">
        <w:rPr>
          <w:b/>
          <w:sz w:val="28"/>
          <w:szCs w:val="28"/>
        </w:rPr>
        <w:t>Introduction</w:t>
      </w:r>
    </w:p>
    <w:p w:rsidR="00040F20" w:rsidRDefault="00F23FC9">
      <w:pPr>
        <w:rPr>
          <w:b/>
          <w:sz w:val="28"/>
          <w:szCs w:val="28"/>
        </w:rPr>
      </w:pPr>
      <w:r>
        <w:t>It is important that health practitioners understand the factors that mediate a client’s experience of pain. Research has suggested that pain is not just a physiological process but is a subjective experience influenced by psychological and socio-cultural factors. This essay will argue that although the experience of pain is predominantly psychological, the level of perceived pain depends on the brain’s interpretation of painful stimuli in context of relevant</w:t>
      </w:r>
      <w:r w:rsidR="002B637F">
        <w:t xml:space="preserve"> past experiences and that the intensity of pain response depends on the brain’s interpretation of sensory input.</w:t>
      </w:r>
      <w:r>
        <w:t xml:space="preserve"> </w:t>
      </w:r>
      <w:r w:rsidR="002B637F">
        <w:t>It will also be argued that that socio-cultural factors including norms and empathy for the pain of others contribute</w:t>
      </w:r>
      <w:r w:rsidR="00247258">
        <w:t xml:space="preserve"> to the biopsychological interaction of how pain is p</w:t>
      </w:r>
      <w:r w:rsidR="002C7FEA">
        <w:t xml:space="preserve">erceived by an individual. The discussion will first begin with a definition of pain. </w:t>
      </w:r>
      <w:r w:rsidR="003754D2">
        <w:t xml:space="preserve">This will then be followed with a discussion of the psychological factors that contribute to pain. The next section of the discussion will address specific socio-cultural factors </w:t>
      </w:r>
      <w:r w:rsidR="00B60921">
        <w:t xml:space="preserve">that </w:t>
      </w:r>
      <w:r w:rsidR="000E5D37">
        <w:t xml:space="preserve">also impact on pain. </w:t>
      </w:r>
    </w:p>
    <w:p w:rsidR="006669D4" w:rsidRDefault="006669D4">
      <w:pPr>
        <w:rPr>
          <w:b/>
          <w:sz w:val="28"/>
          <w:szCs w:val="28"/>
        </w:rPr>
      </w:pPr>
      <w:r w:rsidRPr="00813ED4">
        <w:rPr>
          <w:b/>
          <w:sz w:val="28"/>
          <w:szCs w:val="28"/>
        </w:rPr>
        <w:t>Body</w:t>
      </w:r>
    </w:p>
    <w:p w:rsidR="004D56A8" w:rsidRPr="004D56A8" w:rsidRDefault="006A05C8" w:rsidP="004D56A8">
      <w:pPr>
        <w:rPr>
          <w:sz w:val="24"/>
          <w:szCs w:val="24"/>
        </w:rPr>
      </w:pPr>
      <w:r w:rsidRPr="004D56A8">
        <w:rPr>
          <w:b/>
          <w:sz w:val="24"/>
          <w:szCs w:val="24"/>
        </w:rPr>
        <w:t xml:space="preserve">First </w:t>
      </w:r>
      <w:r w:rsidR="00E166A7">
        <w:rPr>
          <w:b/>
          <w:sz w:val="24"/>
          <w:szCs w:val="24"/>
        </w:rPr>
        <w:t>main</w:t>
      </w:r>
      <w:r w:rsidRPr="004D56A8">
        <w:rPr>
          <w:b/>
          <w:sz w:val="24"/>
          <w:szCs w:val="24"/>
        </w:rPr>
        <w:t xml:space="preserve"> idea</w:t>
      </w:r>
    </w:p>
    <w:p w:rsidR="004D56A8" w:rsidRPr="004D56A8" w:rsidRDefault="004D56A8" w:rsidP="004D56A8">
      <w:pPr>
        <w:pStyle w:val="ListParagraph"/>
        <w:numPr>
          <w:ilvl w:val="0"/>
          <w:numId w:val="5"/>
        </w:numPr>
        <w:rPr>
          <w:sz w:val="24"/>
          <w:szCs w:val="24"/>
        </w:rPr>
      </w:pPr>
      <w:r w:rsidRPr="004D56A8">
        <w:rPr>
          <w:sz w:val="24"/>
          <w:szCs w:val="24"/>
        </w:rPr>
        <w:t>Definition of pain</w:t>
      </w:r>
    </w:p>
    <w:p w:rsidR="000B4F3C" w:rsidRDefault="004D56A8" w:rsidP="004D56A8">
      <w:pPr>
        <w:pStyle w:val="ListParagraph"/>
        <w:numPr>
          <w:ilvl w:val="1"/>
          <w:numId w:val="5"/>
        </w:numPr>
      </w:pPr>
      <w:r w:rsidRPr="004D56A8">
        <w:t>An important sensation activated by nociceptors or sensory nerve cells that communicate with the spinal cord and brain, and indicate that the body is not functioning optimally or has come into contact with an unhealthy stimulus</w:t>
      </w:r>
      <w:r>
        <w:t xml:space="preserve"> (Peterson, Beck &amp; Rowell</w:t>
      </w:r>
      <w:r w:rsidR="000531D5">
        <w:t>,</w:t>
      </w:r>
      <w:r>
        <w:t xml:space="preserve"> 1992).</w:t>
      </w:r>
    </w:p>
    <w:p w:rsidR="00D62AF1" w:rsidRDefault="000B4F3C" w:rsidP="004D56A8">
      <w:pPr>
        <w:pStyle w:val="ListParagraph"/>
        <w:numPr>
          <w:ilvl w:val="1"/>
          <w:numId w:val="5"/>
        </w:numPr>
      </w:pPr>
      <w:r>
        <w:t xml:space="preserve">Particular factors influencing messages from the brain play a significant role in the level of pain experiences as part of the overall central nervous system (Myers &amp; </w:t>
      </w:r>
      <w:proofErr w:type="spellStart"/>
      <w:r>
        <w:t>Dewall</w:t>
      </w:r>
      <w:proofErr w:type="spellEnd"/>
      <w:r w:rsidR="000531D5">
        <w:t>,</w:t>
      </w:r>
      <w:r>
        <w:t xml:space="preserve"> 2015).</w:t>
      </w:r>
      <w:r w:rsidR="004D56A8" w:rsidRPr="004D56A8">
        <w:br/>
      </w:r>
    </w:p>
    <w:p w:rsidR="00D62AF1" w:rsidRDefault="00D62AF1" w:rsidP="00D62AF1">
      <w:pPr>
        <w:rPr>
          <w:b/>
          <w:sz w:val="24"/>
          <w:szCs w:val="24"/>
        </w:rPr>
      </w:pPr>
      <w:r w:rsidRPr="00D62AF1">
        <w:rPr>
          <w:b/>
          <w:sz w:val="24"/>
          <w:szCs w:val="24"/>
        </w:rPr>
        <w:t xml:space="preserve">Second </w:t>
      </w:r>
      <w:r w:rsidR="00E166A7">
        <w:rPr>
          <w:b/>
          <w:sz w:val="24"/>
          <w:szCs w:val="24"/>
        </w:rPr>
        <w:t>main</w:t>
      </w:r>
      <w:r w:rsidRPr="00D62AF1">
        <w:rPr>
          <w:b/>
          <w:sz w:val="24"/>
          <w:szCs w:val="24"/>
        </w:rPr>
        <w:t xml:space="preserve"> idea</w:t>
      </w:r>
    </w:p>
    <w:p w:rsidR="00D62AF1" w:rsidRPr="002504E4" w:rsidRDefault="002504E4" w:rsidP="00D62AF1">
      <w:pPr>
        <w:pStyle w:val="ListParagraph"/>
        <w:numPr>
          <w:ilvl w:val="0"/>
          <w:numId w:val="6"/>
        </w:numPr>
        <w:rPr>
          <w:sz w:val="24"/>
          <w:szCs w:val="24"/>
        </w:rPr>
      </w:pPr>
      <w:r w:rsidRPr="002504E4">
        <w:rPr>
          <w:sz w:val="24"/>
          <w:szCs w:val="24"/>
        </w:rPr>
        <w:t>Experience of pain is predominantly a psychological one.</w:t>
      </w:r>
    </w:p>
    <w:p w:rsidR="002504E4" w:rsidRDefault="002504E4" w:rsidP="002504E4">
      <w:pPr>
        <w:pStyle w:val="ListParagraph"/>
        <w:numPr>
          <w:ilvl w:val="1"/>
          <w:numId w:val="6"/>
        </w:numPr>
        <w:rPr>
          <w:sz w:val="24"/>
          <w:szCs w:val="24"/>
        </w:rPr>
      </w:pPr>
      <w:r w:rsidRPr="002504E4">
        <w:rPr>
          <w:sz w:val="24"/>
          <w:szCs w:val="24"/>
        </w:rPr>
        <w:t xml:space="preserve">The level of pain perceived depends on the </w:t>
      </w:r>
      <w:r>
        <w:rPr>
          <w:sz w:val="24"/>
          <w:szCs w:val="24"/>
        </w:rPr>
        <w:t>brain’s interpretation of painful stimuli, in the context of relevant past ex</w:t>
      </w:r>
      <w:r w:rsidR="000531D5">
        <w:rPr>
          <w:sz w:val="24"/>
          <w:szCs w:val="24"/>
        </w:rPr>
        <w:t>periences (</w:t>
      </w:r>
      <w:proofErr w:type="spellStart"/>
      <w:r w:rsidR="000531D5">
        <w:rPr>
          <w:sz w:val="24"/>
          <w:szCs w:val="24"/>
        </w:rPr>
        <w:t>Melzack</w:t>
      </w:r>
      <w:proofErr w:type="spellEnd"/>
      <w:r w:rsidR="000531D5">
        <w:rPr>
          <w:sz w:val="24"/>
          <w:szCs w:val="24"/>
        </w:rPr>
        <w:t xml:space="preserve"> &amp; Wall as</w:t>
      </w:r>
      <w:r>
        <w:rPr>
          <w:sz w:val="24"/>
          <w:szCs w:val="24"/>
        </w:rPr>
        <w:t xml:space="preserve"> cited in Peterson, Beck &amp; Rowell</w:t>
      </w:r>
      <w:r w:rsidR="000531D5">
        <w:rPr>
          <w:sz w:val="24"/>
          <w:szCs w:val="24"/>
        </w:rPr>
        <w:t>,</w:t>
      </w:r>
      <w:r>
        <w:rPr>
          <w:sz w:val="24"/>
          <w:szCs w:val="24"/>
        </w:rPr>
        <w:t xml:space="preserve"> 1992).</w:t>
      </w:r>
    </w:p>
    <w:p w:rsidR="002504E4" w:rsidRDefault="002504E4" w:rsidP="001F020D">
      <w:pPr>
        <w:pStyle w:val="ListParagraph"/>
        <w:numPr>
          <w:ilvl w:val="2"/>
          <w:numId w:val="6"/>
        </w:numPr>
        <w:rPr>
          <w:sz w:val="24"/>
          <w:szCs w:val="24"/>
        </w:rPr>
      </w:pPr>
      <w:r>
        <w:rPr>
          <w:sz w:val="24"/>
          <w:szCs w:val="24"/>
        </w:rPr>
        <w:lastRenderedPageBreak/>
        <w:t>Children aged 9-14 with a history of painful hospital</w:t>
      </w:r>
      <w:r w:rsidR="00831EE4">
        <w:rPr>
          <w:sz w:val="24"/>
          <w:szCs w:val="24"/>
        </w:rPr>
        <w:t xml:space="preserve"> procedures have heightened pain sensitivity, which does not reflect the severity of the current pain stimulus</w:t>
      </w:r>
      <w:r w:rsidR="001F020D">
        <w:rPr>
          <w:sz w:val="24"/>
          <w:szCs w:val="24"/>
        </w:rPr>
        <w:t xml:space="preserve"> (Hermann et al.</w:t>
      </w:r>
      <w:r w:rsidR="00623D58">
        <w:rPr>
          <w:sz w:val="24"/>
          <w:szCs w:val="24"/>
        </w:rPr>
        <w:t>,</w:t>
      </w:r>
      <w:r w:rsidR="001F020D">
        <w:rPr>
          <w:sz w:val="24"/>
          <w:szCs w:val="24"/>
        </w:rPr>
        <w:t xml:space="preserve"> 2006).</w:t>
      </w:r>
    </w:p>
    <w:p w:rsidR="001F020D" w:rsidRDefault="001F020D" w:rsidP="002504E4">
      <w:pPr>
        <w:pStyle w:val="ListParagraph"/>
        <w:numPr>
          <w:ilvl w:val="1"/>
          <w:numId w:val="6"/>
        </w:numPr>
        <w:rPr>
          <w:sz w:val="24"/>
          <w:szCs w:val="24"/>
        </w:rPr>
      </w:pPr>
      <w:r>
        <w:rPr>
          <w:sz w:val="24"/>
          <w:szCs w:val="24"/>
        </w:rPr>
        <w:t>Current pain thresholds may actually be higher in some instances in the context of past pain.</w:t>
      </w:r>
    </w:p>
    <w:p w:rsidR="001F020D" w:rsidRPr="002504E4" w:rsidRDefault="001F020D" w:rsidP="001F020D">
      <w:pPr>
        <w:pStyle w:val="ListParagraph"/>
        <w:numPr>
          <w:ilvl w:val="2"/>
          <w:numId w:val="6"/>
        </w:numPr>
        <w:rPr>
          <w:sz w:val="24"/>
          <w:szCs w:val="24"/>
        </w:rPr>
      </w:pPr>
      <w:r>
        <w:rPr>
          <w:sz w:val="24"/>
          <w:szCs w:val="24"/>
        </w:rPr>
        <w:t>Older patients have a lower perception of pain due to their broader life experiences for comparison psychologically; people with a broader range of past pain experiences to draw upon may experience lesser relative pain in a current situation (Ritchie et al.</w:t>
      </w:r>
      <w:r w:rsidR="00623D58">
        <w:rPr>
          <w:sz w:val="24"/>
          <w:szCs w:val="24"/>
        </w:rPr>
        <w:t>,</w:t>
      </w:r>
      <w:r>
        <w:rPr>
          <w:sz w:val="24"/>
          <w:szCs w:val="24"/>
        </w:rPr>
        <w:t xml:space="preserve"> 2014).</w:t>
      </w:r>
    </w:p>
    <w:p w:rsidR="00CA20E8" w:rsidRDefault="006A05C8" w:rsidP="00CA20E8">
      <w:pPr>
        <w:rPr>
          <w:b/>
          <w:sz w:val="24"/>
          <w:szCs w:val="24"/>
        </w:rPr>
      </w:pPr>
      <w:r>
        <w:rPr>
          <w:b/>
          <w:sz w:val="24"/>
          <w:szCs w:val="24"/>
        </w:rPr>
        <w:t xml:space="preserve">Third </w:t>
      </w:r>
      <w:r w:rsidR="00E166A7">
        <w:rPr>
          <w:b/>
          <w:sz w:val="24"/>
          <w:szCs w:val="24"/>
        </w:rPr>
        <w:t>main</w:t>
      </w:r>
      <w:r>
        <w:rPr>
          <w:b/>
          <w:sz w:val="24"/>
          <w:szCs w:val="24"/>
        </w:rPr>
        <w:t xml:space="preserve"> idea</w:t>
      </w:r>
    </w:p>
    <w:p w:rsidR="001F020D" w:rsidRDefault="001F020D" w:rsidP="001F020D">
      <w:pPr>
        <w:pStyle w:val="ListParagraph"/>
        <w:numPr>
          <w:ilvl w:val="0"/>
          <w:numId w:val="7"/>
        </w:numPr>
        <w:rPr>
          <w:sz w:val="24"/>
          <w:szCs w:val="24"/>
        </w:rPr>
      </w:pPr>
      <w:r w:rsidRPr="001F020D">
        <w:rPr>
          <w:sz w:val="24"/>
          <w:szCs w:val="24"/>
        </w:rPr>
        <w:t>Some socio-cultural factors also contribute to the level of pain.</w:t>
      </w:r>
    </w:p>
    <w:p w:rsidR="001F020D" w:rsidRDefault="001F020D" w:rsidP="001F020D">
      <w:pPr>
        <w:pStyle w:val="ListParagraph"/>
        <w:numPr>
          <w:ilvl w:val="1"/>
          <w:numId w:val="7"/>
        </w:numPr>
        <w:rPr>
          <w:sz w:val="24"/>
          <w:szCs w:val="24"/>
        </w:rPr>
      </w:pPr>
      <w:r>
        <w:rPr>
          <w:sz w:val="24"/>
          <w:szCs w:val="24"/>
        </w:rPr>
        <w:t xml:space="preserve">Differing physiological factors based on gender highlight </w:t>
      </w:r>
      <w:r w:rsidR="008E5883">
        <w:rPr>
          <w:sz w:val="24"/>
          <w:szCs w:val="24"/>
        </w:rPr>
        <w:t>that</w:t>
      </w:r>
      <w:r>
        <w:rPr>
          <w:sz w:val="24"/>
          <w:szCs w:val="24"/>
        </w:rPr>
        <w:t xml:space="preserve"> those who identify psychologically with traditionally masculine identities refrain from public expression of pain (Garcia et al.</w:t>
      </w:r>
      <w:r w:rsidR="00623D58">
        <w:rPr>
          <w:sz w:val="24"/>
          <w:szCs w:val="24"/>
        </w:rPr>
        <w:t>,</w:t>
      </w:r>
      <w:r>
        <w:rPr>
          <w:sz w:val="24"/>
          <w:szCs w:val="24"/>
        </w:rPr>
        <w:t xml:space="preserve"> 2007).</w:t>
      </w:r>
    </w:p>
    <w:p w:rsidR="001F020D" w:rsidRDefault="001F020D" w:rsidP="001F020D">
      <w:pPr>
        <w:pStyle w:val="ListParagraph"/>
        <w:numPr>
          <w:ilvl w:val="1"/>
          <w:numId w:val="7"/>
        </w:numPr>
        <w:rPr>
          <w:sz w:val="24"/>
          <w:szCs w:val="24"/>
        </w:rPr>
      </w:pPr>
      <w:r>
        <w:rPr>
          <w:sz w:val="24"/>
          <w:szCs w:val="24"/>
        </w:rPr>
        <w:t xml:space="preserve">Participants of Japanese heritage had lower pain response when compared with Caucasian Belgian participants, partly associated with the higher emphasis on stoicism in Japanese culture (Komiyama, </w:t>
      </w:r>
      <w:proofErr w:type="spellStart"/>
      <w:r>
        <w:rPr>
          <w:sz w:val="24"/>
          <w:szCs w:val="24"/>
        </w:rPr>
        <w:t>Kawara</w:t>
      </w:r>
      <w:proofErr w:type="spellEnd"/>
      <w:r>
        <w:rPr>
          <w:sz w:val="24"/>
          <w:szCs w:val="24"/>
        </w:rPr>
        <w:t xml:space="preserve"> &amp; De </w:t>
      </w:r>
      <w:proofErr w:type="spellStart"/>
      <w:r>
        <w:rPr>
          <w:sz w:val="24"/>
          <w:szCs w:val="24"/>
        </w:rPr>
        <w:t>Laat</w:t>
      </w:r>
      <w:proofErr w:type="spellEnd"/>
      <w:r w:rsidR="00623D58">
        <w:rPr>
          <w:sz w:val="24"/>
          <w:szCs w:val="24"/>
        </w:rPr>
        <w:t>,</w:t>
      </w:r>
      <w:r>
        <w:rPr>
          <w:sz w:val="24"/>
          <w:szCs w:val="24"/>
        </w:rPr>
        <w:t xml:space="preserve"> 2007).</w:t>
      </w:r>
    </w:p>
    <w:p w:rsidR="006A31BF" w:rsidRPr="001F020D" w:rsidRDefault="00F24A51" w:rsidP="001F020D">
      <w:pPr>
        <w:pStyle w:val="ListParagraph"/>
        <w:numPr>
          <w:ilvl w:val="1"/>
          <w:numId w:val="7"/>
        </w:numPr>
        <w:rPr>
          <w:sz w:val="24"/>
          <w:szCs w:val="24"/>
        </w:rPr>
      </w:pPr>
      <w:r>
        <w:rPr>
          <w:sz w:val="24"/>
          <w:szCs w:val="24"/>
        </w:rPr>
        <w:t xml:space="preserve">Empathy is another factor that impacts on pain. </w:t>
      </w:r>
      <w:r w:rsidR="006A31BF">
        <w:rPr>
          <w:sz w:val="24"/>
          <w:szCs w:val="24"/>
        </w:rPr>
        <w:t>Individuals observing other people’s pain may experience similar pain due to triggers in the neural networks</w:t>
      </w:r>
      <w:r>
        <w:rPr>
          <w:sz w:val="24"/>
          <w:szCs w:val="24"/>
        </w:rPr>
        <w:t xml:space="preserve"> (Fitzgibbon et al.</w:t>
      </w:r>
      <w:r w:rsidR="00623D58">
        <w:rPr>
          <w:sz w:val="24"/>
          <w:szCs w:val="24"/>
        </w:rPr>
        <w:t>,</w:t>
      </w:r>
      <w:r>
        <w:rPr>
          <w:sz w:val="24"/>
          <w:szCs w:val="24"/>
        </w:rPr>
        <w:t xml:space="preserve"> 2010).</w:t>
      </w:r>
    </w:p>
    <w:p w:rsidR="0096687C" w:rsidRDefault="0096687C" w:rsidP="0096687C">
      <w:pPr>
        <w:rPr>
          <w:sz w:val="24"/>
          <w:szCs w:val="24"/>
        </w:rPr>
      </w:pPr>
    </w:p>
    <w:p w:rsidR="000531D5" w:rsidRPr="000531D5" w:rsidRDefault="0096687C" w:rsidP="000531D5">
      <w:r w:rsidRPr="0096687C">
        <w:rPr>
          <w:b/>
          <w:sz w:val="24"/>
          <w:szCs w:val="24"/>
        </w:rPr>
        <w:t>References</w:t>
      </w:r>
      <w:r w:rsidR="009970C4">
        <w:rPr>
          <w:b/>
          <w:sz w:val="24"/>
          <w:szCs w:val="24"/>
        </w:rPr>
        <w:br/>
      </w:r>
      <w:r w:rsidR="003E1082">
        <w:rPr>
          <w:b/>
          <w:sz w:val="24"/>
          <w:szCs w:val="24"/>
        </w:rPr>
        <w:br/>
      </w:r>
      <w:r w:rsidR="000531D5" w:rsidRPr="000531D5">
        <w:rPr>
          <w:rFonts w:eastAsia="Times New Roman"/>
        </w:rPr>
        <w:t xml:space="preserve">Chan, M.Y. P., </w:t>
      </w:r>
      <w:proofErr w:type="spellStart"/>
      <w:r w:rsidR="000531D5" w:rsidRPr="000531D5">
        <w:rPr>
          <w:rFonts w:eastAsia="Times New Roman"/>
        </w:rPr>
        <w:t>Hamamura</w:t>
      </w:r>
      <w:proofErr w:type="spellEnd"/>
      <w:r w:rsidR="000531D5" w:rsidRPr="000531D5">
        <w:rPr>
          <w:rFonts w:eastAsia="Times New Roman"/>
        </w:rPr>
        <w:t xml:space="preserve">, T., &amp; </w:t>
      </w:r>
      <w:proofErr w:type="spellStart"/>
      <w:r w:rsidR="000531D5" w:rsidRPr="000531D5">
        <w:rPr>
          <w:rFonts w:eastAsia="Times New Roman"/>
        </w:rPr>
        <w:t>Janschewitz</w:t>
      </w:r>
      <w:proofErr w:type="spellEnd"/>
      <w:r w:rsidR="000531D5" w:rsidRPr="000531D5">
        <w:rPr>
          <w:rFonts w:eastAsia="Times New Roman"/>
        </w:rPr>
        <w:t>, K. (2012). Ethnic differences</w:t>
      </w:r>
      <w:r w:rsidR="000E138A">
        <w:rPr>
          <w:rFonts w:eastAsia="Times New Roman"/>
        </w:rPr>
        <w:t xml:space="preserve"> in physical pain sensitivity: </w:t>
      </w:r>
      <w:r w:rsidR="000E138A">
        <w:rPr>
          <w:rFonts w:eastAsia="Times New Roman"/>
        </w:rPr>
        <w:br/>
        <w:t xml:space="preserve">     R</w:t>
      </w:r>
      <w:r w:rsidR="000531D5" w:rsidRPr="000531D5">
        <w:rPr>
          <w:rFonts w:eastAsia="Times New Roman"/>
        </w:rPr>
        <w:t xml:space="preserve">ole of acculturation.  </w:t>
      </w:r>
      <w:r w:rsidR="000531D5" w:rsidRPr="000531D5">
        <w:rPr>
          <w:rFonts w:eastAsia="Times New Roman"/>
          <w:i/>
          <w:iCs/>
        </w:rPr>
        <w:t>Pain</w:t>
      </w:r>
      <w:r w:rsidR="000531D5" w:rsidRPr="000531D5">
        <w:rPr>
          <w:rFonts w:eastAsia="Times New Roman"/>
        </w:rPr>
        <w:t xml:space="preserve">, </w:t>
      </w:r>
      <w:r w:rsidR="000531D5" w:rsidRPr="000531D5">
        <w:rPr>
          <w:rFonts w:eastAsia="Times New Roman"/>
          <w:i/>
          <w:iCs/>
        </w:rPr>
        <w:t>154</w:t>
      </w:r>
      <w:r w:rsidR="000531D5" w:rsidRPr="000531D5">
        <w:rPr>
          <w:rFonts w:eastAsia="Times New Roman"/>
        </w:rPr>
        <w:t>(1), 119-123.</w:t>
      </w:r>
    </w:p>
    <w:p w:rsidR="000531D5" w:rsidRPr="000531D5" w:rsidRDefault="000531D5" w:rsidP="000531D5">
      <w:pPr>
        <w:spacing w:line="240" w:lineRule="auto"/>
        <w:rPr>
          <w:rFonts w:eastAsia="Times New Roman"/>
        </w:rPr>
      </w:pPr>
      <w:r w:rsidRPr="000531D5">
        <w:rPr>
          <w:rFonts w:eastAsia="Times New Roman"/>
        </w:rPr>
        <w:t xml:space="preserve">Fitzgibbon, B. M., </w:t>
      </w:r>
      <w:proofErr w:type="spellStart"/>
      <w:r w:rsidRPr="000531D5">
        <w:rPr>
          <w:rFonts w:eastAsia="Times New Roman"/>
        </w:rPr>
        <w:t>Enticott</w:t>
      </w:r>
      <w:proofErr w:type="spellEnd"/>
      <w:r w:rsidRPr="000531D5">
        <w:rPr>
          <w:rFonts w:eastAsia="Times New Roman"/>
        </w:rPr>
        <w:t xml:space="preserve">, P. G., Rich, A. N., </w:t>
      </w:r>
      <w:proofErr w:type="spellStart"/>
      <w:r w:rsidRPr="000531D5">
        <w:rPr>
          <w:rFonts w:eastAsia="Times New Roman"/>
        </w:rPr>
        <w:t>Giummarra</w:t>
      </w:r>
      <w:proofErr w:type="spellEnd"/>
      <w:r w:rsidRPr="000531D5">
        <w:rPr>
          <w:rFonts w:eastAsia="Times New Roman"/>
        </w:rPr>
        <w:t>, M.J., Georgiou-</w:t>
      </w:r>
      <w:proofErr w:type="spellStart"/>
      <w:r w:rsidRPr="000531D5">
        <w:rPr>
          <w:rFonts w:eastAsia="Times New Roman"/>
        </w:rPr>
        <w:t>Karistianis</w:t>
      </w:r>
      <w:proofErr w:type="spellEnd"/>
      <w:r w:rsidRPr="000531D5">
        <w:rPr>
          <w:rFonts w:eastAsia="Times New Roman"/>
        </w:rPr>
        <w:t xml:space="preserve">, N., </w:t>
      </w:r>
      <w:proofErr w:type="spellStart"/>
      <w:r w:rsidRPr="000531D5">
        <w:rPr>
          <w:rFonts w:eastAsia="Times New Roman"/>
        </w:rPr>
        <w:t>Tsao</w:t>
      </w:r>
      <w:proofErr w:type="spellEnd"/>
      <w:r w:rsidRPr="000531D5">
        <w:rPr>
          <w:rFonts w:eastAsia="Times New Roman"/>
        </w:rPr>
        <w:t xml:space="preserve">, J. W., </w:t>
      </w:r>
      <w:r w:rsidR="000E138A">
        <w:rPr>
          <w:rFonts w:eastAsia="Times New Roman"/>
        </w:rPr>
        <w:br/>
        <w:t xml:space="preserve">     </w:t>
      </w:r>
      <w:r w:rsidRPr="000531D5">
        <w:rPr>
          <w:rFonts w:eastAsia="Times New Roman"/>
        </w:rPr>
        <w:t xml:space="preserve">Weeks, S. R., &amp; Bradshaw, J. L. (2010). High incidence of “synaesthesia for pain” in amputees. </w:t>
      </w:r>
      <w:r w:rsidR="000E138A">
        <w:rPr>
          <w:rFonts w:eastAsia="Times New Roman"/>
        </w:rPr>
        <w:br/>
        <w:t xml:space="preserve">     </w:t>
      </w:r>
      <w:proofErr w:type="spellStart"/>
      <w:r w:rsidRPr="000531D5">
        <w:rPr>
          <w:rFonts w:eastAsia="Times New Roman"/>
          <w:i/>
          <w:iCs/>
        </w:rPr>
        <w:t>Neuropsychologia</w:t>
      </w:r>
      <w:proofErr w:type="spellEnd"/>
      <w:r w:rsidRPr="000531D5">
        <w:rPr>
          <w:rFonts w:eastAsia="Times New Roman"/>
        </w:rPr>
        <w:t xml:space="preserve">, </w:t>
      </w:r>
      <w:r w:rsidRPr="000531D5">
        <w:rPr>
          <w:rFonts w:eastAsia="Times New Roman"/>
          <w:i/>
          <w:iCs/>
        </w:rPr>
        <w:t>48</w:t>
      </w:r>
      <w:r w:rsidRPr="000531D5">
        <w:rPr>
          <w:rFonts w:eastAsia="Times New Roman"/>
        </w:rPr>
        <w:t>(12), 3675-3678.</w:t>
      </w:r>
    </w:p>
    <w:p w:rsidR="000531D5" w:rsidRPr="000531D5" w:rsidRDefault="000531D5" w:rsidP="000531D5">
      <w:pPr>
        <w:spacing w:line="240" w:lineRule="auto"/>
        <w:rPr>
          <w:rFonts w:eastAsia="Times New Roman"/>
        </w:rPr>
      </w:pPr>
      <w:r w:rsidRPr="000531D5">
        <w:rPr>
          <w:rFonts w:eastAsia="Times New Roman"/>
        </w:rPr>
        <w:t>Garcia, E., Godoy-</w:t>
      </w:r>
      <w:proofErr w:type="spellStart"/>
      <w:r w:rsidRPr="000531D5">
        <w:rPr>
          <w:rFonts w:eastAsia="Times New Roman"/>
        </w:rPr>
        <w:t>Izquierdo</w:t>
      </w:r>
      <w:proofErr w:type="spellEnd"/>
      <w:r w:rsidRPr="000531D5">
        <w:rPr>
          <w:rFonts w:eastAsia="Times New Roman"/>
        </w:rPr>
        <w:t>, D., Godoy, J. F., Perez, M., &amp; Lopez-</w:t>
      </w:r>
      <w:proofErr w:type="spellStart"/>
      <w:r w:rsidRPr="000531D5">
        <w:rPr>
          <w:rFonts w:eastAsia="Times New Roman"/>
        </w:rPr>
        <w:t>Chicheri</w:t>
      </w:r>
      <w:proofErr w:type="spellEnd"/>
      <w:r w:rsidRPr="000531D5">
        <w:rPr>
          <w:rFonts w:eastAsia="Times New Roman"/>
        </w:rPr>
        <w:t xml:space="preserve">, I. (2007), Gender </w:t>
      </w:r>
      <w:r w:rsidR="000E138A">
        <w:rPr>
          <w:rFonts w:eastAsia="Times New Roman"/>
        </w:rPr>
        <w:br/>
        <w:t xml:space="preserve">     </w:t>
      </w:r>
      <w:r w:rsidRPr="000531D5">
        <w:rPr>
          <w:rFonts w:eastAsia="Times New Roman"/>
        </w:rPr>
        <w:t xml:space="preserve">differences in pressure pain threshold in a repeated measures assessment.  </w:t>
      </w:r>
      <w:r w:rsidRPr="000531D5">
        <w:rPr>
          <w:rFonts w:eastAsia="Times New Roman"/>
          <w:i/>
          <w:iCs/>
        </w:rPr>
        <w:t xml:space="preserve">Psychology, Health &amp; </w:t>
      </w:r>
      <w:r w:rsidR="000E138A">
        <w:rPr>
          <w:rFonts w:eastAsia="Times New Roman"/>
          <w:i/>
          <w:iCs/>
        </w:rPr>
        <w:br/>
        <w:t xml:space="preserve">     </w:t>
      </w:r>
      <w:r w:rsidRPr="000531D5">
        <w:rPr>
          <w:rFonts w:eastAsia="Times New Roman"/>
          <w:i/>
          <w:iCs/>
        </w:rPr>
        <w:t>Medicine</w:t>
      </w:r>
      <w:r w:rsidRPr="000531D5">
        <w:rPr>
          <w:rFonts w:eastAsia="Times New Roman"/>
        </w:rPr>
        <w:t xml:space="preserve">, </w:t>
      </w:r>
      <w:r w:rsidRPr="000531D5">
        <w:rPr>
          <w:rFonts w:eastAsia="Times New Roman"/>
          <w:i/>
          <w:iCs/>
        </w:rPr>
        <w:t>12</w:t>
      </w:r>
      <w:r w:rsidRPr="000531D5">
        <w:rPr>
          <w:rFonts w:eastAsia="Times New Roman"/>
        </w:rPr>
        <w:t>(5), 567-579.</w:t>
      </w:r>
    </w:p>
    <w:p w:rsidR="000531D5" w:rsidRPr="000531D5" w:rsidRDefault="000531D5" w:rsidP="000531D5">
      <w:pPr>
        <w:spacing w:line="240" w:lineRule="auto"/>
        <w:rPr>
          <w:rFonts w:eastAsia="Times New Roman"/>
        </w:rPr>
      </w:pPr>
      <w:r w:rsidRPr="000531D5">
        <w:rPr>
          <w:rFonts w:eastAsia="Times New Roman"/>
        </w:rPr>
        <w:t xml:space="preserve">Hermann, C., </w:t>
      </w:r>
      <w:proofErr w:type="spellStart"/>
      <w:r w:rsidRPr="000531D5">
        <w:rPr>
          <w:rFonts w:eastAsia="Times New Roman"/>
        </w:rPr>
        <w:t>Hohmeister</w:t>
      </w:r>
      <w:proofErr w:type="spellEnd"/>
      <w:r w:rsidRPr="000531D5">
        <w:rPr>
          <w:rFonts w:eastAsia="Times New Roman"/>
        </w:rPr>
        <w:t xml:space="preserve">, J., </w:t>
      </w:r>
      <w:proofErr w:type="spellStart"/>
      <w:r w:rsidRPr="000531D5">
        <w:rPr>
          <w:rFonts w:eastAsia="Times New Roman"/>
        </w:rPr>
        <w:t>Demirakca</w:t>
      </w:r>
      <w:proofErr w:type="spellEnd"/>
      <w:r w:rsidRPr="000531D5">
        <w:rPr>
          <w:rFonts w:eastAsia="Times New Roman"/>
        </w:rPr>
        <w:t xml:space="preserve">, S., </w:t>
      </w:r>
      <w:proofErr w:type="spellStart"/>
      <w:r w:rsidRPr="000531D5">
        <w:rPr>
          <w:rFonts w:eastAsia="Times New Roman"/>
        </w:rPr>
        <w:t>Zohsel</w:t>
      </w:r>
      <w:proofErr w:type="spellEnd"/>
      <w:r w:rsidRPr="000531D5">
        <w:rPr>
          <w:rFonts w:eastAsia="Times New Roman"/>
        </w:rPr>
        <w:t xml:space="preserve">, K., &amp; Flor, H. (2006). Long-term alternation of </w:t>
      </w:r>
      <w:r w:rsidR="000E138A">
        <w:rPr>
          <w:rFonts w:eastAsia="Times New Roman"/>
        </w:rPr>
        <w:br/>
        <w:t xml:space="preserve">    </w:t>
      </w:r>
      <w:r w:rsidRPr="000531D5">
        <w:rPr>
          <w:rFonts w:eastAsia="Times New Roman"/>
        </w:rPr>
        <w:t xml:space="preserve">pain sensitivity in school-aged children with early pain experiences. </w:t>
      </w:r>
      <w:r w:rsidRPr="000531D5">
        <w:rPr>
          <w:rFonts w:eastAsia="Times New Roman"/>
          <w:i/>
          <w:iCs/>
        </w:rPr>
        <w:t>Pain</w:t>
      </w:r>
      <w:r w:rsidRPr="000531D5">
        <w:rPr>
          <w:rFonts w:eastAsia="Times New Roman"/>
        </w:rPr>
        <w:t xml:space="preserve">, </w:t>
      </w:r>
      <w:r w:rsidRPr="000531D5">
        <w:rPr>
          <w:rFonts w:eastAsia="Times New Roman"/>
          <w:i/>
          <w:iCs/>
        </w:rPr>
        <w:t>125</w:t>
      </w:r>
      <w:r w:rsidRPr="000531D5">
        <w:rPr>
          <w:rFonts w:eastAsia="Times New Roman"/>
        </w:rPr>
        <w:t>(3), 278-285.</w:t>
      </w:r>
    </w:p>
    <w:p w:rsidR="000531D5" w:rsidRPr="000531D5" w:rsidRDefault="000531D5" w:rsidP="000531D5">
      <w:pPr>
        <w:spacing w:line="240" w:lineRule="auto"/>
        <w:rPr>
          <w:rFonts w:eastAsia="Times New Roman"/>
        </w:rPr>
      </w:pPr>
      <w:r w:rsidRPr="000531D5">
        <w:rPr>
          <w:rFonts w:eastAsia="Times New Roman"/>
        </w:rPr>
        <w:t xml:space="preserve">Komiyama, O., </w:t>
      </w:r>
      <w:proofErr w:type="spellStart"/>
      <w:r w:rsidRPr="000531D5">
        <w:rPr>
          <w:rFonts w:eastAsia="Times New Roman"/>
        </w:rPr>
        <w:t>Kawara</w:t>
      </w:r>
      <w:proofErr w:type="spellEnd"/>
      <w:r w:rsidRPr="000531D5">
        <w:rPr>
          <w:rFonts w:eastAsia="Times New Roman"/>
        </w:rPr>
        <w:t xml:space="preserve">, M., &amp; De </w:t>
      </w:r>
      <w:proofErr w:type="spellStart"/>
      <w:r w:rsidRPr="000531D5">
        <w:rPr>
          <w:rFonts w:eastAsia="Times New Roman"/>
        </w:rPr>
        <w:t>Laat</w:t>
      </w:r>
      <w:proofErr w:type="spellEnd"/>
      <w:r w:rsidRPr="000531D5">
        <w:rPr>
          <w:rFonts w:eastAsia="Times New Roman"/>
        </w:rPr>
        <w:t xml:space="preserve">, A. (2007) Ethnic differences regarding tactile and pain </w:t>
      </w:r>
      <w:r w:rsidR="000E138A">
        <w:rPr>
          <w:rFonts w:eastAsia="Times New Roman"/>
        </w:rPr>
        <w:br/>
        <w:t xml:space="preserve">     </w:t>
      </w:r>
      <w:r w:rsidRPr="000531D5">
        <w:rPr>
          <w:rFonts w:eastAsia="Times New Roman"/>
        </w:rPr>
        <w:t xml:space="preserve">thresholds in the trigeminal region. </w:t>
      </w:r>
      <w:r w:rsidRPr="000531D5">
        <w:rPr>
          <w:rFonts w:eastAsia="Times New Roman"/>
          <w:i/>
          <w:iCs/>
        </w:rPr>
        <w:t>The Journal of Pain</w:t>
      </w:r>
      <w:r w:rsidRPr="000531D5">
        <w:rPr>
          <w:rFonts w:eastAsia="Times New Roman"/>
        </w:rPr>
        <w:t>, 8(4), 363-369.</w:t>
      </w:r>
    </w:p>
    <w:p w:rsidR="000531D5" w:rsidRPr="000531D5" w:rsidRDefault="000531D5" w:rsidP="000531D5">
      <w:pPr>
        <w:spacing w:line="240" w:lineRule="auto"/>
        <w:rPr>
          <w:rFonts w:eastAsia="Times New Roman"/>
        </w:rPr>
      </w:pPr>
      <w:r w:rsidRPr="000531D5">
        <w:rPr>
          <w:rFonts w:eastAsia="Times New Roman"/>
        </w:rPr>
        <w:t xml:space="preserve">Myers, D. G. &amp; </w:t>
      </w:r>
      <w:proofErr w:type="spellStart"/>
      <w:r w:rsidRPr="000531D5">
        <w:rPr>
          <w:rFonts w:eastAsia="Times New Roman"/>
        </w:rPr>
        <w:t>Dewall</w:t>
      </w:r>
      <w:proofErr w:type="spellEnd"/>
      <w:r w:rsidRPr="000531D5">
        <w:rPr>
          <w:rFonts w:eastAsia="Times New Roman"/>
        </w:rPr>
        <w:t xml:space="preserve">, C. N. (2015). </w:t>
      </w:r>
      <w:r w:rsidRPr="000531D5">
        <w:rPr>
          <w:rFonts w:eastAsia="Times New Roman"/>
          <w:i/>
          <w:iCs/>
        </w:rPr>
        <w:t>Psychology</w:t>
      </w:r>
      <w:r w:rsidRPr="000531D5">
        <w:rPr>
          <w:rFonts w:eastAsia="Times New Roman"/>
        </w:rPr>
        <w:t xml:space="preserve"> (11</w:t>
      </w:r>
      <w:r w:rsidRPr="000531D5">
        <w:rPr>
          <w:rFonts w:eastAsia="Times New Roman"/>
          <w:vertAlign w:val="superscript"/>
        </w:rPr>
        <w:t>th</w:t>
      </w:r>
      <w:r w:rsidRPr="000531D5">
        <w:rPr>
          <w:rFonts w:eastAsia="Times New Roman"/>
        </w:rPr>
        <w:t xml:space="preserve"> </w:t>
      </w:r>
      <w:proofErr w:type="spellStart"/>
      <w:r w:rsidRPr="000531D5">
        <w:rPr>
          <w:rFonts w:eastAsia="Times New Roman"/>
        </w:rPr>
        <w:t>edn</w:t>
      </w:r>
      <w:proofErr w:type="spellEnd"/>
      <w:r w:rsidRPr="000531D5">
        <w:rPr>
          <w:rFonts w:eastAsia="Times New Roman"/>
        </w:rPr>
        <w:t>). New York: Worth Publishers.</w:t>
      </w:r>
    </w:p>
    <w:p w:rsidR="000531D5" w:rsidRPr="000531D5" w:rsidRDefault="000531D5" w:rsidP="000531D5">
      <w:pPr>
        <w:spacing w:line="240" w:lineRule="auto"/>
        <w:rPr>
          <w:rFonts w:eastAsia="Times New Roman"/>
        </w:rPr>
      </w:pPr>
      <w:r w:rsidRPr="000531D5">
        <w:rPr>
          <w:rFonts w:eastAsia="Times New Roman"/>
        </w:rPr>
        <w:t xml:space="preserve">Ritchie, C., Dunn, L. B., Paul, S. M., Cooper, B. A., </w:t>
      </w:r>
      <w:proofErr w:type="spellStart"/>
      <w:r w:rsidRPr="000531D5">
        <w:rPr>
          <w:rFonts w:eastAsia="Times New Roman"/>
        </w:rPr>
        <w:t>Skerman</w:t>
      </w:r>
      <w:proofErr w:type="spellEnd"/>
      <w:r w:rsidRPr="000531D5">
        <w:rPr>
          <w:rFonts w:eastAsia="Times New Roman"/>
        </w:rPr>
        <w:t xml:space="preserve">, H., Merriman, J. D., </w:t>
      </w:r>
      <w:proofErr w:type="spellStart"/>
      <w:r w:rsidRPr="000531D5">
        <w:rPr>
          <w:rFonts w:eastAsia="Times New Roman"/>
        </w:rPr>
        <w:t>Aouizerat</w:t>
      </w:r>
      <w:proofErr w:type="spellEnd"/>
      <w:r w:rsidRPr="000531D5">
        <w:rPr>
          <w:rFonts w:eastAsia="Times New Roman"/>
        </w:rPr>
        <w:t xml:space="preserve">, B., </w:t>
      </w:r>
      <w:r w:rsidR="000E138A">
        <w:rPr>
          <w:rFonts w:eastAsia="Times New Roman"/>
        </w:rPr>
        <w:br/>
        <w:t xml:space="preserve">     </w:t>
      </w:r>
      <w:r w:rsidRPr="000531D5">
        <w:rPr>
          <w:rFonts w:eastAsia="Times New Roman"/>
        </w:rPr>
        <w:t xml:space="preserve">Alexander, K., Yates, P., </w:t>
      </w:r>
      <w:proofErr w:type="spellStart"/>
      <w:r w:rsidRPr="000531D5">
        <w:rPr>
          <w:rFonts w:eastAsia="Times New Roman"/>
        </w:rPr>
        <w:t>Cataldo</w:t>
      </w:r>
      <w:proofErr w:type="spellEnd"/>
      <w:r w:rsidRPr="000531D5">
        <w:rPr>
          <w:rFonts w:eastAsia="Times New Roman"/>
        </w:rPr>
        <w:t xml:space="preserve">, J., &amp; </w:t>
      </w:r>
      <w:proofErr w:type="spellStart"/>
      <w:r w:rsidRPr="000531D5">
        <w:rPr>
          <w:rFonts w:eastAsia="Times New Roman"/>
        </w:rPr>
        <w:t>Miaskowski</w:t>
      </w:r>
      <w:proofErr w:type="spellEnd"/>
      <w:r w:rsidRPr="000531D5">
        <w:rPr>
          <w:rFonts w:eastAsia="Times New Roman"/>
        </w:rPr>
        <w:t xml:space="preserve">, C. (2014). Differences in the symptom </w:t>
      </w:r>
      <w:r w:rsidR="000E138A">
        <w:rPr>
          <w:rFonts w:eastAsia="Times New Roman"/>
        </w:rPr>
        <w:br/>
        <w:t xml:space="preserve">     </w:t>
      </w:r>
      <w:r w:rsidRPr="000531D5">
        <w:rPr>
          <w:rFonts w:eastAsia="Times New Roman"/>
        </w:rPr>
        <w:t xml:space="preserve">experience of older oncology outpatients. </w:t>
      </w:r>
      <w:r w:rsidRPr="000531D5">
        <w:rPr>
          <w:rFonts w:eastAsia="Times New Roman"/>
          <w:i/>
          <w:iCs/>
        </w:rPr>
        <w:t>Journal of Pain and Symptom Management</w:t>
      </w:r>
      <w:r w:rsidRPr="000531D5">
        <w:rPr>
          <w:rFonts w:eastAsia="Times New Roman"/>
        </w:rPr>
        <w:t xml:space="preserve">, </w:t>
      </w:r>
      <w:r w:rsidRPr="000531D5">
        <w:rPr>
          <w:rFonts w:eastAsia="Times New Roman"/>
          <w:i/>
          <w:iCs/>
        </w:rPr>
        <w:t>47</w:t>
      </w:r>
      <w:r w:rsidRPr="000531D5">
        <w:rPr>
          <w:rFonts w:eastAsia="Times New Roman"/>
        </w:rPr>
        <w:t>(4), 697-</w:t>
      </w:r>
      <w:r w:rsidR="000E138A">
        <w:rPr>
          <w:rFonts w:eastAsia="Times New Roman"/>
        </w:rPr>
        <w:br/>
        <w:t xml:space="preserve">     </w:t>
      </w:r>
      <w:bookmarkStart w:id="0" w:name="_GoBack"/>
      <w:bookmarkEnd w:id="0"/>
      <w:r w:rsidRPr="000531D5">
        <w:rPr>
          <w:rFonts w:eastAsia="Times New Roman"/>
        </w:rPr>
        <w:t>709.</w:t>
      </w:r>
    </w:p>
    <w:p w:rsidR="003E1082" w:rsidRPr="009F5FAB" w:rsidRDefault="003E1082" w:rsidP="000531D5">
      <w:pPr>
        <w:spacing w:line="240" w:lineRule="auto"/>
      </w:pPr>
    </w:p>
    <w:sectPr w:rsidR="003E1082" w:rsidRPr="009F5F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A4" w:rsidRDefault="004E1AA4" w:rsidP="004E1AA4">
      <w:pPr>
        <w:spacing w:after="0" w:line="240" w:lineRule="auto"/>
      </w:pPr>
      <w:r>
        <w:separator/>
      </w:r>
    </w:p>
  </w:endnote>
  <w:endnote w:type="continuationSeparator" w:id="0">
    <w:p w:rsidR="004E1AA4" w:rsidRDefault="004E1AA4" w:rsidP="004E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A4" w:rsidRDefault="004E1AA4" w:rsidP="004E1AA4">
      <w:pPr>
        <w:spacing w:after="0" w:line="240" w:lineRule="auto"/>
      </w:pPr>
      <w:r>
        <w:separator/>
      </w:r>
    </w:p>
  </w:footnote>
  <w:footnote w:type="continuationSeparator" w:id="0">
    <w:p w:rsidR="004E1AA4" w:rsidRDefault="004E1AA4" w:rsidP="004E1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F0" w:rsidRDefault="00667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6F2C"/>
    <w:multiLevelType w:val="hybridMultilevel"/>
    <w:tmpl w:val="904EAE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594F92"/>
    <w:multiLevelType w:val="hybridMultilevel"/>
    <w:tmpl w:val="D4A42A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D34B54"/>
    <w:multiLevelType w:val="hybridMultilevel"/>
    <w:tmpl w:val="1F0E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A86D10"/>
    <w:multiLevelType w:val="hybridMultilevel"/>
    <w:tmpl w:val="91C2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FE7F99"/>
    <w:multiLevelType w:val="hybridMultilevel"/>
    <w:tmpl w:val="B5645F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2C31F6"/>
    <w:multiLevelType w:val="hybridMultilevel"/>
    <w:tmpl w:val="83920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1304BD"/>
    <w:multiLevelType w:val="hybridMultilevel"/>
    <w:tmpl w:val="038EC3E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4"/>
    <w:rsid w:val="00024352"/>
    <w:rsid w:val="0002445F"/>
    <w:rsid w:val="00040F20"/>
    <w:rsid w:val="000531D5"/>
    <w:rsid w:val="000720D6"/>
    <w:rsid w:val="000950E8"/>
    <w:rsid w:val="000B4F3C"/>
    <w:rsid w:val="000E138A"/>
    <w:rsid w:val="000E5D37"/>
    <w:rsid w:val="00110572"/>
    <w:rsid w:val="001A739F"/>
    <w:rsid w:val="001F020D"/>
    <w:rsid w:val="00247258"/>
    <w:rsid w:val="002504E4"/>
    <w:rsid w:val="002B637F"/>
    <w:rsid w:val="002C7FEA"/>
    <w:rsid w:val="002E6B1F"/>
    <w:rsid w:val="00336664"/>
    <w:rsid w:val="003754D2"/>
    <w:rsid w:val="003E1082"/>
    <w:rsid w:val="004D56A8"/>
    <w:rsid w:val="004E1AA4"/>
    <w:rsid w:val="00541108"/>
    <w:rsid w:val="005515AF"/>
    <w:rsid w:val="0055291E"/>
    <w:rsid w:val="005B0F9D"/>
    <w:rsid w:val="005C3D78"/>
    <w:rsid w:val="00623D58"/>
    <w:rsid w:val="006669D4"/>
    <w:rsid w:val="006672F0"/>
    <w:rsid w:val="006A05C8"/>
    <w:rsid w:val="006A31BF"/>
    <w:rsid w:val="00710E6F"/>
    <w:rsid w:val="0071190E"/>
    <w:rsid w:val="0071197B"/>
    <w:rsid w:val="0079730F"/>
    <w:rsid w:val="007D30F2"/>
    <w:rsid w:val="007D53B4"/>
    <w:rsid w:val="00813ED4"/>
    <w:rsid w:val="00831EE4"/>
    <w:rsid w:val="0085116D"/>
    <w:rsid w:val="008868A5"/>
    <w:rsid w:val="008E5883"/>
    <w:rsid w:val="0096687C"/>
    <w:rsid w:val="009970C4"/>
    <w:rsid w:val="009F5FAB"/>
    <w:rsid w:val="00A36D57"/>
    <w:rsid w:val="00AB71D3"/>
    <w:rsid w:val="00AE2D58"/>
    <w:rsid w:val="00B60921"/>
    <w:rsid w:val="00BF3259"/>
    <w:rsid w:val="00CA20E8"/>
    <w:rsid w:val="00D62AF1"/>
    <w:rsid w:val="00D70F67"/>
    <w:rsid w:val="00D714A2"/>
    <w:rsid w:val="00D755F2"/>
    <w:rsid w:val="00E0649F"/>
    <w:rsid w:val="00E166A7"/>
    <w:rsid w:val="00E337F6"/>
    <w:rsid w:val="00E6538C"/>
    <w:rsid w:val="00F23FC9"/>
    <w:rsid w:val="00F24A51"/>
    <w:rsid w:val="00F442F3"/>
    <w:rsid w:val="00F6184D"/>
    <w:rsid w:val="00F642A5"/>
    <w:rsid w:val="00FF0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197DC-7923-44BC-8B9D-1295023F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AA4"/>
  </w:style>
  <w:style w:type="paragraph" w:styleId="Footer">
    <w:name w:val="footer"/>
    <w:basedOn w:val="Normal"/>
    <w:link w:val="FooterChar"/>
    <w:uiPriority w:val="99"/>
    <w:unhideWhenUsed/>
    <w:rsid w:val="004E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AA4"/>
  </w:style>
  <w:style w:type="paragraph" w:styleId="ListParagraph">
    <w:name w:val="List Paragraph"/>
    <w:basedOn w:val="Normal"/>
    <w:uiPriority w:val="34"/>
    <w:qFormat/>
    <w:rsid w:val="0071190E"/>
    <w:pPr>
      <w:ind w:left="720"/>
      <w:contextualSpacing/>
    </w:pPr>
  </w:style>
  <w:style w:type="character" w:styleId="Hyperlink">
    <w:name w:val="Hyperlink"/>
    <w:basedOn w:val="DefaultParagraphFont"/>
    <w:uiPriority w:val="99"/>
    <w:semiHidden/>
    <w:unhideWhenUsed/>
    <w:rsid w:val="00F6184D"/>
    <w:rPr>
      <w:strike w:val="0"/>
      <w:dstrike w:val="0"/>
      <w:color w:val="10147E"/>
      <w:u w:val="none"/>
      <w:effect w:val="none"/>
      <w:shd w:val="clear" w:color="auto" w:fill="auto"/>
    </w:rPr>
  </w:style>
  <w:style w:type="character" w:customStyle="1" w:styleId="hlfld-contribauthor">
    <w:name w:val="hlfld-contribauthor"/>
    <w:basedOn w:val="DefaultParagraphFont"/>
    <w:rsid w:val="00F6184D"/>
  </w:style>
  <w:style w:type="character" w:customStyle="1" w:styleId="separator12">
    <w:name w:val="separator12"/>
    <w:basedOn w:val="DefaultParagraphFont"/>
    <w:rsid w:val="00F6184D"/>
  </w:style>
  <w:style w:type="character" w:customStyle="1" w:styleId="nlmsource">
    <w:name w:val="nlm_source"/>
    <w:basedOn w:val="DefaultParagraphFont"/>
    <w:rsid w:val="00F6184D"/>
  </w:style>
  <w:style w:type="paragraph" w:styleId="NormalWeb">
    <w:name w:val="Normal (Web)"/>
    <w:basedOn w:val="Normal"/>
    <w:uiPriority w:val="99"/>
    <w:semiHidden/>
    <w:unhideWhenUsed/>
    <w:rsid w:val="000531D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7</cp:revision>
  <dcterms:created xsi:type="dcterms:W3CDTF">2017-06-05T01:28:00Z</dcterms:created>
  <dcterms:modified xsi:type="dcterms:W3CDTF">2017-06-05T21:58:00Z</dcterms:modified>
</cp:coreProperties>
</file>