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CellMar>
          <w:left w:w="57" w:type="dxa"/>
          <w:right w:w="57" w:type="dxa"/>
        </w:tblCellMar>
        <w:tblLook w:val="04A0" w:firstRow="1" w:lastRow="0" w:firstColumn="1" w:lastColumn="0" w:noHBand="0" w:noVBand="1"/>
      </w:tblPr>
      <w:tblGrid>
        <w:gridCol w:w="396"/>
        <w:gridCol w:w="8610"/>
      </w:tblGrid>
      <w:tr w:rsidR="00BB43E6" w14:paraId="2C634FDF" w14:textId="77777777" w:rsidTr="00FD0E57">
        <w:trPr>
          <w:cantSplit/>
          <w:trHeight w:val="1134"/>
        </w:trPr>
        <w:tc>
          <w:tcPr>
            <w:tcW w:w="220" w:type="pct"/>
            <w:shd w:val="clear" w:color="auto" w:fill="4472C4" w:themeFill="accent5"/>
            <w:textDirection w:val="btLr"/>
          </w:tcPr>
          <w:p w14:paraId="4CE91722" w14:textId="081C9F6A" w:rsidR="00BB43E6" w:rsidRDefault="008654EF" w:rsidP="0039542F">
            <w:pPr>
              <w:ind w:left="113" w:right="113"/>
              <w:jc w:val="center"/>
            </w:pPr>
            <w:r>
              <w:tab/>
            </w:r>
            <w:r w:rsidR="00BB43E6" w:rsidRPr="00C426D8">
              <w:rPr>
                <w:b/>
                <w:color w:val="FFFFFF" w:themeColor="background1"/>
              </w:rPr>
              <w:t>What are the findings?</w:t>
            </w:r>
          </w:p>
        </w:tc>
        <w:tc>
          <w:tcPr>
            <w:tcW w:w="4780" w:type="pct"/>
          </w:tcPr>
          <w:p w14:paraId="25295A3B" w14:textId="77777777" w:rsidR="00BB43E6" w:rsidRPr="00BB43E6" w:rsidRDefault="00BB43E6" w:rsidP="00A5265E">
            <w:pPr>
              <w:shd w:val="clear" w:color="auto" w:fill="4472C4" w:themeFill="accent5"/>
              <w:rPr>
                <w:b/>
                <w:color w:val="FFFFFF" w:themeColor="background1"/>
                <w:sz w:val="20"/>
              </w:rPr>
            </w:pPr>
            <w:r w:rsidRPr="00BB43E6">
              <w:rPr>
                <w:b/>
                <w:color w:val="FFFFFF" w:themeColor="background1"/>
                <w:sz w:val="20"/>
              </w:rPr>
              <w:t xml:space="preserve">In relation to language, culture and learning: </w:t>
            </w:r>
          </w:p>
          <w:p w14:paraId="3E774BF8" w14:textId="77777777" w:rsidR="00BB43E6" w:rsidRPr="00BB43E6" w:rsidRDefault="00BB43E6" w:rsidP="00BB43E6">
            <w:pPr>
              <w:pStyle w:val="ListParagraph"/>
              <w:numPr>
                <w:ilvl w:val="0"/>
                <w:numId w:val="1"/>
              </w:numPr>
              <w:rPr>
                <w:sz w:val="20"/>
              </w:rPr>
            </w:pPr>
            <w:r w:rsidRPr="00BB43E6">
              <w:rPr>
                <w:sz w:val="20"/>
              </w:rPr>
              <w:t xml:space="preserve">That an attentiveness to the crucial role of language/s and culture/s in shaping how concepts are interpreted and how understandings and new knowledge are created, developed and applied is necessary and valuable when learning and teaching in diversity. </w:t>
            </w:r>
          </w:p>
          <w:p w14:paraId="01AA4E53" w14:textId="77777777" w:rsidR="00BB43E6" w:rsidRPr="00BB43E6" w:rsidRDefault="00BB43E6" w:rsidP="00A5265E">
            <w:pPr>
              <w:shd w:val="clear" w:color="auto" w:fill="4472C4" w:themeFill="accent5"/>
              <w:rPr>
                <w:b/>
                <w:color w:val="FFFFFF" w:themeColor="background1"/>
                <w:sz w:val="20"/>
              </w:rPr>
            </w:pPr>
            <w:r w:rsidRPr="00BB43E6">
              <w:rPr>
                <w:b/>
                <w:color w:val="FFFFFF" w:themeColor="background1"/>
                <w:sz w:val="20"/>
              </w:rPr>
              <w:t xml:space="preserve">In relation to learners, the experience of learning and the personalisation of their learning: </w:t>
            </w:r>
          </w:p>
          <w:p w14:paraId="7D8B88D6" w14:textId="77777777" w:rsidR="00BB43E6" w:rsidRPr="00BB43E6" w:rsidRDefault="00BB43E6" w:rsidP="00BB43E6">
            <w:pPr>
              <w:pStyle w:val="ListParagraph"/>
              <w:numPr>
                <w:ilvl w:val="0"/>
                <w:numId w:val="1"/>
              </w:numPr>
              <w:rPr>
                <w:sz w:val="20"/>
              </w:rPr>
            </w:pPr>
            <w:r w:rsidRPr="00BB43E6">
              <w:rPr>
                <w:sz w:val="20"/>
              </w:rPr>
              <w:t xml:space="preserve">That students’ intercultural learning capabilities are developed through opportunities for experiential and personalised learning in interaction, in which students engage with their own and others’ diverse knowledges, experiences and understandings and participate reciprocally in exchange. </w:t>
            </w:r>
          </w:p>
          <w:p w14:paraId="6D0D6CE8" w14:textId="77777777" w:rsidR="00BB43E6" w:rsidRPr="00BB43E6" w:rsidRDefault="00BB43E6" w:rsidP="00A5265E">
            <w:pPr>
              <w:shd w:val="clear" w:color="auto" w:fill="4472C4" w:themeFill="accent5"/>
              <w:rPr>
                <w:b/>
                <w:color w:val="FFFFFF" w:themeColor="background1"/>
                <w:sz w:val="20"/>
              </w:rPr>
            </w:pPr>
            <w:r w:rsidRPr="00BB43E6">
              <w:rPr>
                <w:b/>
                <w:color w:val="FFFFFF" w:themeColor="background1"/>
                <w:sz w:val="20"/>
              </w:rPr>
              <w:t xml:space="preserve">In relation to curriculum design: </w:t>
            </w:r>
          </w:p>
          <w:p w14:paraId="3717ECB4" w14:textId="77777777" w:rsidR="00BB43E6" w:rsidRPr="00BB43E6" w:rsidRDefault="00BB43E6" w:rsidP="00BB43E6">
            <w:pPr>
              <w:pStyle w:val="ListParagraph"/>
              <w:numPr>
                <w:ilvl w:val="0"/>
                <w:numId w:val="1"/>
              </w:numPr>
              <w:rPr>
                <w:sz w:val="20"/>
              </w:rPr>
            </w:pPr>
            <w:r w:rsidRPr="00BB43E6">
              <w:rPr>
                <w:sz w:val="20"/>
              </w:rPr>
              <w:t xml:space="preserve">That the design of the curriculum be coherent in the sense that intercultural learning as described permeates all aspects of the curriculum and its enactment. </w:t>
            </w:r>
          </w:p>
          <w:p w14:paraId="2BE088F0" w14:textId="77777777" w:rsidR="00BB43E6" w:rsidRPr="00BB43E6" w:rsidRDefault="00BB43E6" w:rsidP="00C426D8">
            <w:pPr>
              <w:shd w:val="clear" w:color="auto" w:fill="4472C4" w:themeFill="accent5"/>
              <w:rPr>
                <w:b/>
                <w:color w:val="FFFFFF" w:themeColor="background1"/>
                <w:sz w:val="20"/>
              </w:rPr>
            </w:pPr>
            <w:r w:rsidRPr="00BB43E6">
              <w:rPr>
                <w:b/>
                <w:color w:val="FFFFFF" w:themeColor="background1"/>
                <w:sz w:val="20"/>
              </w:rPr>
              <w:t xml:space="preserve">In relation to managing a core course: </w:t>
            </w:r>
          </w:p>
          <w:p w14:paraId="5FF226F8" w14:textId="77777777" w:rsidR="00BB43E6" w:rsidRPr="00BB43E6" w:rsidRDefault="00BB43E6" w:rsidP="00BB43E6">
            <w:pPr>
              <w:pStyle w:val="ListParagraph"/>
              <w:numPr>
                <w:ilvl w:val="0"/>
                <w:numId w:val="1"/>
              </w:numPr>
              <w:rPr>
                <w:sz w:val="20"/>
              </w:rPr>
            </w:pPr>
            <w:r w:rsidRPr="00BB43E6">
              <w:rPr>
                <w:sz w:val="20"/>
              </w:rPr>
              <w:t xml:space="preserve">That coordination extends beyond the administrative aspects of ‘managing’ the course to include developing shared understandings of the conceptualisation and design of the content and processes of the course, teaching and learning processes, experiences and resources, and assessment and evaluation. </w:t>
            </w:r>
          </w:p>
          <w:p w14:paraId="67CDD261" w14:textId="77777777" w:rsidR="00BB43E6" w:rsidRPr="00BB43E6" w:rsidRDefault="00BB43E6" w:rsidP="00C426D8">
            <w:pPr>
              <w:shd w:val="clear" w:color="auto" w:fill="4472C4" w:themeFill="accent5"/>
              <w:rPr>
                <w:b/>
                <w:color w:val="FFFFFF" w:themeColor="background1"/>
                <w:sz w:val="20"/>
              </w:rPr>
            </w:pPr>
            <w:r w:rsidRPr="00BB43E6">
              <w:rPr>
                <w:b/>
                <w:color w:val="FFFFFF" w:themeColor="background1"/>
                <w:sz w:val="20"/>
              </w:rPr>
              <w:t xml:space="preserve">In relation to academic and professional literacies: </w:t>
            </w:r>
          </w:p>
          <w:p w14:paraId="5E0CCEB8" w14:textId="77777777" w:rsidR="00BB43E6" w:rsidRPr="00BB43E6" w:rsidRDefault="00BB43E6" w:rsidP="00BB43E6">
            <w:pPr>
              <w:pStyle w:val="ListParagraph"/>
              <w:numPr>
                <w:ilvl w:val="0"/>
                <w:numId w:val="1"/>
              </w:numPr>
              <w:rPr>
                <w:sz w:val="20"/>
              </w:rPr>
            </w:pPr>
            <w:r w:rsidRPr="00BB43E6">
              <w:rPr>
                <w:sz w:val="20"/>
              </w:rPr>
              <w:t>That attending deliberately and explicitly to language/s and culture/s is an integral part of developing the literate capabilities students need in academic and professional environments.</w:t>
            </w:r>
          </w:p>
        </w:tc>
      </w:tr>
    </w:tbl>
    <w:p w14:paraId="78FBEE7B" w14:textId="77777777" w:rsidR="00BB43E6" w:rsidRDefault="00A04618" w:rsidP="00BB43E6">
      <w:r>
        <w:rPr>
          <w:b/>
          <w:noProof/>
        </w:rPr>
        <mc:AlternateContent>
          <mc:Choice Requires="wps">
            <w:drawing>
              <wp:anchor distT="0" distB="0" distL="114300" distR="114300" simplePos="0" relativeHeight="251666432" behindDoc="0" locked="0" layoutInCell="1" allowOverlap="1" wp14:anchorId="1B678EE5" wp14:editId="6EE1AE24">
                <wp:simplePos x="0" y="0"/>
                <wp:positionH relativeFrom="margin">
                  <wp:align>center</wp:align>
                </wp:positionH>
                <wp:positionV relativeFrom="paragraph">
                  <wp:posOffset>27940</wp:posOffset>
                </wp:positionV>
                <wp:extent cx="216000" cy="485775"/>
                <wp:effectExtent l="19050" t="0" r="12700" b="47625"/>
                <wp:wrapNone/>
                <wp:docPr id="17" name="Down Arrow 17"/>
                <wp:cNvGraphicFramePr/>
                <a:graphic xmlns:a="http://schemas.openxmlformats.org/drawingml/2006/main">
                  <a:graphicData uri="http://schemas.microsoft.com/office/word/2010/wordprocessingShape">
                    <wps:wsp>
                      <wps:cNvSpPr/>
                      <wps:spPr>
                        <a:xfrm>
                          <a:off x="0" y="0"/>
                          <a:ext cx="216000" cy="485775"/>
                        </a:xfrm>
                        <a:prstGeom prst="downArrow">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88BF53" id="Down Arrow 17" o:spid="_x0000_s1026" type="#_x0000_t67" style="position:absolute;margin-left:0;margin-top:2.2pt;width:17pt;height:38.2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i6jgIAALsFAAAOAAAAZHJzL2Uyb0RvYy54bWysVMFu2zAMvQ/YPwi6r7aDpOmCOkXQosOA&#10;oi3aDj2rslQbkEWNUuJkXz9KdpysK3YodpFFkXwkn0meX2xbwzYKfQO25MVJzpmyEqrGvpb8x9P1&#10;lzPOfBC2EgasKvlOeX6x/PzpvHMLNYEaTKWQEYj1i86VvA7BLbLMy1q1wp+AU5aUGrAVgUR8zSoU&#10;HaG3Jpvk+WnWAVYOQSrv6fWqV/JlwtdayXCntVeBmZJTbiGdmM6XeGbLc7F4ReHqRg5piA9k0YrG&#10;UtAR6koEwdbY/AXVNhLBgw4nEtoMtG6kSjVQNUX+pprHWjiVaiFyvBtp8v8PVt5u7pE1Ff27OWdW&#10;tPSPrqCzbIUIHaNHYqhzfkGGj+4eB8nTNZa71djGLxXCtonV3ciq2gYm6XFSnOY5cS9JNT2bzeez&#10;iJkdnB368E1By+Kl5BWFT9EToWJz40Nvv7eLAT2YprpujElC7BZ1aZBtBP1nIaWyYR/lD0tjP+xM&#10;CUfvLJLRl59uYWdUxDT2QWkiMhacEk8t/DapolfVolJ9rjOiJnUhwY8eiZ0EGJE1VTliDwDvFVwM&#10;tA720VWlCRid838l1nM8eqTIYMPo3DYW8D0AE8bIvf2epJ6ayNILVDtqM4R+/ryT1w396xvhw71A&#10;GjhqD1oi4Y4ObaArOQw3zmrAX++9R3uaA9Jy1tEAl9z/XAtUnJnvlibkazGdxolPwnQ2n5CAx5qX&#10;Y41dt5dAvVPQunIyXaN9MPurRmifadesYlRSCSspdsllwL1wGfrFQttKqtUqmdGUOxFu7KOTETyy&#10;Gtv4afss0A0NH2hSbmE/7GLxpuV72+hpYbUOoJs0DwdeB75pQ6TGGbZZXEHHcrI67NzlbwAAAP//&#10;AwBQSwMEFAAGAAgAAAAhAPDz45HbAAAABAEAAA8AAABkcnMvZG93bnJldi54bWxMj0tPwzAQhO9I&#10;/AdrkbhRBwioTbOpKiQkxOPQB+rViZckaryOYrcJ/57lBMfRjGa+yVeT69SZhtB6RridJaCIK29b&#10;rhH2u+ebOagQDVvTeSaEbwqwKi4vcpNZP/KGzttYKynhkBmEJsY+0zpUDTkTZr4nFu/LD85EkUOt&#10;7WBGKXedvkuSR+1My7LQmJ6eGqqO25NDeAif67exjJvja80vu/Tw0bzvF4jXV9N6CSrSFP/C8Isv&#10;6FAIU+lPbIPqEORIREhTUGLepyJLhHmyAF3k+j988QMAAP//AwBQSwECLQAUAAYACAAAACEAtoM4&#10;kv4AAADhAQAAEwAAAAAAAAAAAAAAAAAAAAAAW0NvbnRlbnRfVHlwZXNdLnhtbFBLAQItABQABgAI&#10;AAAAIQA4/SH/1gAAAJQBAAALAAAAAAAAAAAAAAAAAC8BAABfcmVscy8ucmVsc1BLAQItABQABgAI&#10;AAAAIQBSfhi6jgIAALsFAAAOAAAAAAAAAAAAAAAAAC4CAABkcnMvZTJvRG9jLnhtbFBLAQItABQA&#10;BgAIAAAAIQDw8+OR2wAAAAQBAAAPAAAAAAAAAAAAAAAAAOgEAABkcnMvZG93bnJldi54bWxQSwUG&#10;AAAAAAQABADzAAAA8AUAAAAA&#10;" adj="16798" fillcolor="#4472c4 [3208]" strokecolor="#4472c4 [3208]" strokeweight="1pt">
                <w10:wrap anchorx="margin"/>
              </v:shape>
            </w:pict>
          </mc:Fallback>
        </mc:AlternateContent>
      </w:r>
    </w:p>
    <w:p w14:paraId="73F8E808" w14:textId="77777777" w:rsidR="00BB43E6" w:rsidRPr="00BB43E6" w:rsidRDefault="00BB43E6" w:rsidP="00BB43E6"/>
    <w:tbl>
      <w:tblPr>
        <w:tblStyle w:val="TableGrid"/>
        <w:tblW w:w="5000" w:type="pct"/>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CellMar>
          <w:left w:w="57" w:type="dxa"/>
          <w:right w:w="57" w:type="dxa"/>
        </w:tblCellMar>
        <w:tblLook w:val="04A0" w:firstRow="1" w:lastRow="0" w:firstColumn="1" w:lastColumn="0" w:noHBand="0" w:noVBand="1"/>
      </w:tblPr>
      <w:tblGrid>
        <w:gridCol w:w="396"/>
        <w:gridCol w:w="8610"/>
      </w:tblGrid>
      <w:tr w:rsidR="00A04618" w14:paraId="0569F17A" w14:textId="77777777" w:rsidTr="00C426D8">
        <w:trPr>
          <w:cantSplit/>
          <w:trHeight w:val="1134"/>
        </w:trPr>
        <w:tc>
          <w:tcPr>
            <w:tcW w:w="216" w:type="pct"/>
            <w:shd w:val="clear" w:color="auto" w:fill="4472C4" w:themeFill="accent5"/>
            <w:textDirection w:val="btLr"/>
          </w:tcPr>
          <w:p w14:paraId="2EEA64C8" w14:textId="77777777" w:rsidR="00A04618" w:rsidRDefault="00A04618" w:rsidP="00A04618">
            <w:pPr>
              <w:ind w:left="113" w:right="113"/>
              <w:jc w:val="center"/>
            </w:pPr>
            <w:r w:rsidRPr="00C426D8">
              <w:rPr>
                <w:b/>
                <w:color w:val="FFFFFF" w:themeColor="background1"/>
              </w:rPr>
              <w:t>What do they mean?</w:t>
            </w:r>
          </w:p>
        </w:tc>
        <w:tc>
          <w:tcPr>
            <w:tcW w:w="4784" w:type="pct"/>
          </w:tcPr>
          <w:p w14:paraId="71291974" w14:textId="77777777" w:rsidR="00A04618" w:rsidRPr="00A04618" w:rsidRDefault="00A04618" w:rsidP="008D362E">
            <w:pPr>
              <w:shd w:val="clear" w:color="auto" w:fill="4472C4" w:themeFill="accent5"/>
              <w:rPr>
                <w:b/>
                <w:color w:val="FFFFFF" w:themeColor="background1"/>
                <w:sz w:val="20"/>
              </w:rPr>
            </w:pPr>
            <w:r w:rsidRPr="008D362E">
              <w:rPr>
                <w:b/>
                <w:color w:val="FFFFFF" w:themeColor="background1"/>
                <w:sz w:val="20"/>
              </w:rPr>
              <w:t xml:space="preserve">The findings reveal the need for and value of: </w:t>
            </w:r>
          </w:p>
          <w:p w14:paraId="50C27E50" w14:textId="77777777" w:rsidR="00A04618" w:rsidRPr="00A04618" w:rsidRDefault="00A04618" w:rsidP="00A04618">
            <w:pPr>
              <w:pStyle w:val="ListParagraph"/>
              <w:numPr>
                <w:ilvl w:val="0"/>
                <w:numId w:val="1"/>
              </w:numPr>
              <w:rPr>
                <w:sz w:val="20"/>
              </w:rPr>
            </w:pPr>
            <w:r w:rsidRPr="00A04618">
              <w:rPr>
                <w:sz w:val="20"/>
              </w:rPr>
              <w:t xml:space="preserve">enabling students to draw on their linguistic, cultural and knowledge repertoires </w:t>
            </w:r>
          </w:p>
          <w:p w14:paraId="5074909D" w14:textId="77777777" w:rsidR="00A04618" w:rsidRPr="00A04618" w:rsidRDefault="00A04618" w:rsidP="00A04618">
            <w:pPr>
              <w:pStyle w:val="ListParagraph"/>
              <w:numPr>
                <w:ilvl w:val="0"/>
                <w:numId w:val="1"/>
              </w:numPr>
              <w:rPr>
                <w:sz w:val="20"/>
              </w:rPr>
            </w:pPr>
            <w:r w:rsidRPr="00A04618">
              <w:rPr>
                <w:sz w:val="20"/>
              </w:rPr>
              <w:t xml:space="preserve">providing coherent and scaffolded pathways for students as they participate in a course </w:t>
            </w:r>
          </w:p>
          <w:p w14:paraId="22DCB0CD" w14:textId="77777777" w:rsidR="00A04618" w:rsidRPr="00A04618" w:rsidRDefault="00A04618" w:rsidP="00A04618">
            <w:pPr>
              <w:pStyle w:val="ListParagraph"/>
              <w:numPr>
                <w:ilvl w:val="0"/>
                <w:numId w:val="1"/>
              </w:numPr>
              <w:rPr>
                <w:sz w:val="20"/>
              </w:rPr>
            </w:pPr>
            <w:r w:rsidRPr="00A04618">
              <w:rPr>
                <w:sz w:val="20"/>
              </w:rPr>
              <w:t xml:space="preserve">enabling opportunities for experiential and personalised learning through interaction, in which students engage with their own and others’ diverse knowledges, experiences and understandings and participate reciprocally in exchange </w:t>
            </w:r>
          </w:p>
          <w:p w14:paraId="0777732E" w14:textId="77777777" w:rsidR="00A04618" w:rsidRPr="00A04618" w:rsidRDefault="00A04618" w:rsidP="00A04618">
            <w:pPr>
              <w:pStyle w:val="ListParagraph"/>
              <w:numPr>
                <w:ilvl w:val="0"/>
                <w:numId w:val="1"/>
              </w:numPr>
              <w:rPr>
                <w:sz w:val="20"/>
              </w:rPr>
            </w:pPr>
            <w:r w:rsidRPr="00A04618">
              <w:rPr>
                <w:sz w:val="20"/>
              </w:rPr>
              <w:t xml:space="preserve">enabling students to examine critically their own and others’ assumptions, to consider multiple perspectives, and reflect on the interpretation, creation and application of knowledge </w:t>
            </w:r>
          </w:p>
          <w:p w14:paraId="0C8A62DD" w14:textId="77777777" w:rsidR="00A04618" w:rsidRPr="00A04618" w:rsidRDefault="00A04618" w:rsidP="00A04618">
            <w:pPr>
              <w:pStyle w:val="ListParagraph"/>
              <w:numPr>
                <w:ilvl w:val="0"/>
                <w:numId w:val="1"/>
              </w:numPr>
              <w:rPr>
                <w:sz w:val="20"/>
              </w:rPr>
            </w:pPr>
            <w:r w:rsidRPr="00A04618">
              <w:rPr>
                <w:sz w:val="20"/>
              </w:rPr>
              <w:t>attending to the crucial role of language/s and culture/s in developing, enacting and evaluating the processes of learning, teaching and assessment</w:t>
            </w:r>
          </w:p>
          <w:p w14:paraId="33FF5FC6" w14:textId="77777777" w:rsidR="00A04618" w:rsidRPr="00A04618" w:rsidRDefault="00A04618" w:rsidP="00A04618">
            <w:pPr>
              <w:pStyle w:val="ListParagraph"/>
              <w:numPr>
                <w:ilvl w:val="0"/>
                <w:numId w:val="1"/>
              </w:numPr>
              <w:rPr>
                <w:sz w:val="20"/>
              </w:rPr>
            </w:pPr>
            <w:r w:rsidRPr="00A04618">
              <w:rPr>
                <w:sz w:val="20"/>
              </w:rPr>
              <w:t>rethinking notions of ‘experience’ and ‘engagement’, specifically to attend to the central role of language/s and culture/s in all students’ experience of learning, teaching and assessment if we are to enable students to develop their intercultural learning capabilities.</w:t>
            </w:r>
          </w:p>
          <w:p w14:paraId="6709FE34" w14:textId="77777777" w:rsidR="00A04618" w:rsidRPr="00A04618" w:rsidRDefault="00A04618" w:rsidP="00A04618">
            <w:pPr>
              <w:rPr>
                <w:sz w:val="20"/>
              </w:rPr>
            </w:pPr>
          </w:p>
        </w:tc>
      </w:tr>
    </w:tbl>
    <w:p w14:paraId="4C618DF7" w14:textId="77777777" w:rsidR="00515109" w:rsidRDefault="00515109" w:rsidP="007D3F45">
      <w:pPr>
        <w:spacing w:line="278" w:lineRule="auto"/>
        <w:ind w:left="100" w:right="1658"/>
        <w:rPr>
          <w:rFonts w:ascii="Calibri Light"/>
          <w:color w:val="2D74B5"/>
          <w:sz w:val="24"/>
        </w:rPr>
      </w:pPr>
      <w:r>
        <w:rPr>
          <w:b/>
          <w:noProof/>
        </w:rPr>
        <mc:AlternateContent>
          <mc:Choice Requires="wps">
            <w:drawing>
              <wp:anchor distT="0" distB="0" distL="114300" distR="114300" simplePos="0" relativeHeight="251668480" behindDoc="0" locked="0" layoutInCell="1" allowOverlap="1" wp14:anchorId="62E288A9" wp14:editId="27A19B14">
                <wp:simplePos x="0" y="0"/>
                <wp:positionH relativeFrom="margin">
                  <wp:align>center</wp:align>
                </wp:positionH>
                <wp:positionV relativeFrom="paragraph">
                  <wp:posOffset>24765</wp:posOffset>
                </wp:positionV>
                <wp:extent cx="216000" cy="485775"/>
                <wp:effectExtent l="19050" t="0" r="12700" b="47625"/>
                <wp:wrapNone/>
                <wp:docPr id="18" name="Down Arrow 18"/>
                <wp:cNvGraphicFramePr/>
                <a:graphic xmlns:a="http://schemas.openxmlformats.org/drawingml/2006/main">
                  <a:graphicData uri="http://schemas.microsoft.com/office/word/2010/wordprocessingShape">
                    <wps:wsp>
                      <wps:cNvSpPr/>
                      <wps:spPr>
                        <a:xfrm>
                          <a:off x="0" y="0"/>
                          <a:ext cx="216000" cy="485775"/>
                        </a:xfrm>
                        <a:prstGeom prst="downArrow">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808592" id="Down Arrow 18" o:spid="_x0000_s1026" type="#_x0000_t67" style="position:absolute;margin-left:0;margin-top:1.95pt;width:17pt;height:38.25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6NjQIAALsFAAAOAAAAZHJzL2Uyb0RvYy54bWysVFFP3DAMfp+0/xDlfbQ93QE70UMnENMk&#10;xNBg4jmkCa2UxJmTu97t189Je4UxtAe0lzaO7c/2F9tn5ztr2FZh6MDVvDoqOVNOQtO5p5r/uL/6&#10;dMpZiMI1woBTNd+rwM9XHz+c9X6pZtCCaRQyAnFh2fuatzH6ZVEE2SorwhF45UipAa2IJOJT0aDo&#10;Cd2aYlaWx0UP2HgEqUKg28tByVcZX2sl4zetg4rM1Jxyi/mL+fuYvsXqTCyfUPi2k2Ma4h1ZWNE5&#10;CjpBXYoo2Aa7v6BsJxEC6HgkwRagdSdVroGqqcpX1dy1wqtcC5ET/ERT+H+w8mZ7i6xr6O3opZyw&#10;9EaX0Du2RoSe0SUx1PuwJMM7f4ujFOiYyt1ptOlPhbBdZnU/sap2kUm6nFXHZUncS1LNTxcnJ4uE&#10;WTw7ewzxiwLL0qHmDYXP0TOhYnsd4mB/sEsBA5iuueqMyULqFnVhkG0FvbOQUrl4iPKHpXHvdqaE&#10;k3eRyBjKz6e4NyphGvddaSIyFZwTzy38OqlqULWiUUOuC6ImdyHBTx6ZnQyYkDVVOWGPAG8VXI20&#10;jvbJVeUJmJzLfyU2cDx55Mjg4uRsOwf4FoCJU+TB/kDSQE1i6RGaPbUZwjB/wcurjt76WoR4K5AG&#10;jtqDlkj8Rh9toK85jCfOWsBfb90ne5oD0nLW0wDXPPzcCFScma+OJuRzNZ+nic/CfHEyIwFfah5f&#10;atzGXgD1TkXryst8TPbRHI4awT7QrlmnqKQSTlLsmsuIB+EiDouFtpVU63U2oyn3Il67Oy8TeGI1&#10;tfH97kGgHxs+0qTcwGHYxfJVyw+2ydPBehNBd3kennkd+aYNkRtn3GZpBb2Us9Xzzl39BgAA//8D&#10;AFBLAwQUAAYACAAAACEAyaU5d9sAAAAEAQAADwAAAGRycy9kb3ducmV2LnhtbEyPT0vDQBTE74Lf&#10;YXmCN7vRRmljXkoRBFF76B/xusk+k9Ds25DdNvHb+zzpcZhh5jf5anKdOtMQWs8It7MEFHHlbcs1&#10;wmH/fLMAFaJhazrPhPBNAVbF5UVuMutH3tJ5F2slJRwyg9DE2Gdah6ohZ8LM98TiffnBmShyqLUd&#10;zCjlrtN3SfKgnWlZFhrT01ND1XF3cgj34WP9NpZxe3yt+WWffm6a98MS8fpqWj+CijTFvzD84gs6&#10;FMJU+hPboDoEORIR5ktQYs5TkSXCIklBF7n+D1/8AAAA//8DAFBLAQItABQABgAIAAAAIQC2gziS&#10;/gAAAOEBAAATAAAAAAAAAAAAAAAAAAAAAABbQ29udGVudF9UeXBlc10ueG1sUEsBAi0AFAAGAAgA&#10;AAAhADj9If/WAAAAlAEAAAsAAAAAAAAAAAAAAAAALwEAAF9yZWxzLy5yZWxzUEsBAi0AFAAGAAgA&#10;AAAhAFMfXo2NAgAAuwUAAA4AAAAAAAAAAAAAAAAALgIAAGRycy9lMm9Eb2MueG1sUEsBAi0AFAAG&#10;AAgAAAAhAMmlOXfbAAAABAEAAA8AAAAAAAAAAAAAAAAA5wQAAGRycy9kb3ducmV2LnhtbFBLBQYA&#10;AAAABAAEAPMAAADvBQAAAAA=&#10;" adj="16798" fillcolor="#4472c4 [3208]" strokecolor="#4472c4 [3208]" strokeweight="1pt">
                <w10:wrap anchorx="margin"/>
              </v:shape>
            </w:pict>
          </mc:Fallback>
        </mc:AlternateContent>
      </w:r>
    </w:p>
    <w:p w14:paraId="559022DB" w14:textId="77777777" w:rsidR="007D3F45" w:rsidRDefault="007D3F45" w:rsidP="00515109">
      <w:pPr>
        <w:spacing w:line="278" w:lineRule="auto"/>
        <w:ind w:right="1658"/>
        <w:rPr>
          <w:rFonts w:ascii="Calibri Light"/>
          <w:color w:val="2D74B5"/>
          <w:sz w:val="24"/>
        </w:rPr>
      </w:pPr>
    </w:p>
    <w:tbl>
      <w:tblPr>
        <w:tblStyle w:val="TableGrid"/>
        <w:tblW w:w="5000" w:type="pct"/>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CellMar>
          <w:left w:w="57" w:type="dxa"/>
          <w:right w:w="57" w:type="dxa"/>
        </w:tblCellMar>
        <w:tblLook w:val="04A0" w:firstRow="1" w:lastRow="0" w:firstColumn="1" w:lastColumn="0" w:noHBand="0" w:noVBand="1"/>
      </w:tblPr>
      <w:tblGrid>
        <w:gridCol w:w="396"/>
        <w:gridCol w:w="8610"/>
      </w:tblGrid>
      <w:tr w:rsidR="00A04618" w14:paraId="2F12EED4" w14:textId="77777777" w:rsidTr="00C426D8">
        <w:trPr>
          <w:cantSplit/>
          <w:trHeight w:val="2140"/>
        </w:trPr>
        <w:tc>
          <w:tcPr>
            <w:tcW w:w="216" w:type="pct"/>
            <w:shd w:val="clear" w:color="auto" w:fill="4472C4" w:themeFill="accent5"/>
            <w:textDirection w:val="btLr"/>
          </w:tcPr>
          <w:p w14:paraId="15961B81" w14:textId="77777777" w:rsidR="00A04618" w:rsidRDefault="00A04618" w:rsidP="00A04618">
            <w:pPr>
              <w:ind w:left="113" w:right="113"/>
              <w:jc w:val="center"/>
            </w:pPr>
            <w:r w:rsidRPr="00C426D8">
              <w:rPr>
                <w:b/>
                <w:color w:val="FFFFFF" w:themeColor="background1"/>
              </w:rPr>
              <w:t>What do they imply?</w:t>
            </w:r>
          </w:p>
        </w:tc>
        <w:tc>
          <w:tcPr>
            <w:tcW w:w="4784" w:type="pct"/>
          </w:tcPr>
          <w:p w14:paraId="3AA9E593" w14:textId="77777777" w:rsidR="00AF6274" w:rsidRPr="00AF6274" w:rsidRDefault="00AF6274" w:rsidP="00C426D8">
            <w:pPr>
              <w:shd w:val="clear" w:color="auto" w:fill="4472C4" w:themeFill="accent5"/>
              <w:rPr>
                <w:b/>
                <w:color w:val="FFFFFF" w:themeColor="background1"/>
                <w:sz w:val="20"/>
              </w:rPr>
            </w:pPr>
            <w:r w:rsidRPr="00AF6274">
              <w:rPr>
                <w:b/>
                <w:color w:val="FFFFFF" w:themeColor="background1"/>
                <w:sz w:val="20"/>
              </w:rPr>
              <w:t xml:space="preserve">That learning, teaching and assessment in diversity: </w:t>
            </w:r>
          </w:p>
          <w:p w14:paraId="22D91DB5" w14:textId="77777777" w:rsidR="00AF6274" w:rsidRPr="00AF6274" w:rsidRDefault="00AF6274" w:rsidP="00AF6274">
            <w:pPr>
              <w:pStyle w:val="ListParagraph"/>
              <w:numPr>
                <w:ilvl w:val="0"/>
                <w:numId w:val="1"/>
              </w:numPr>
              <w:rPr>
                <w:sz w:val="20"/>
              </w:rPr>
            </w:pPr>
            <w:r w:rsidRPr="00AF6274">
              <w:rPr>
                <w:sz w:val="20"/>
              </w:rPr>
              <w:t xml:space="preserve">is a shared, dialogic and ongoing process involving both teachers and students as they engage with disciplinary knowledge and consider how it may be applied in meaningful and relevant ways </w:t>
            </w:r>
          </w:p>
          <w:p w14:paraId="7E557268" w14:textId="77777777" w:rsidR="00A04618" w:rsidRPr="00AF6274" w:rsidRDefault="00AF6274" w:rsidP="0039542F">
            <w:pPr>
              <w:pStyle w:val="ListParagraph"/>
              <w:numPr>
                <w:ilvl w:val="0"/>
                <w:numId w:val="1"/>
              </w:numPr>
              <w:rPr>
                <w:sz w:val="20"/>
              </w:rPr>
            </w:pPr>
            <w:r w:rsidRPr="00AF6274">
              <w:rPr>
                <w:sz w:val="20"/>
              </w:rPr>
              <w:t>requires an attentiveness to the crucial role of language/s and culture/s in shaping how understandings and new knowledge are created, developed and applied.</w:t>
            </w:r>
          </w:p>
        </w:tc>
      </w:tr>
    </w:tbl>
    <w:p w14:paraId="0460F5FD" w14:textId="77777777" w:rsidR="00A04618" w:rsidRDefault="00515109" w:rsidP="007D3F45">
      <w:pPr>
        <w:spacing w:line="278" w:lineRule="auto"/>
        <w:ind w:left="100" w:right="1658"/>
        <w:rPr>
          <w:rFonts w:ascii="Calibri Light"/>
          <w:color w:val="2D74B5"/>
          <w:sz w:val="24"/>
        </w:rPr>
      </w:pPr>
      <w:r>
        <w:rPr>
          <w:b/>
          <w:noProof/>
        </w:rPr>
        <mc:AlternateContent>
          <mc:Choice Requires="wps">
            <w:drawing>
              <wp:anchor distT="0" distB="0" distL="114300" distR="114300" simplePos="0" relativeHeight="251670528" behindDoc="0" locked="0" layoutInCell="1" allowOverlap="1" wp14:anchorId="7DC72661" wp14:editId="5C184874">
                <wp:simplePos x="0" y="0"/>
                <wp:positionH relativeFrom="margin">
                  <wp:align>center</wp:align>
                </wp:positionH>
                <wp:positionV relativeFrom="paragraph">
                  <wp:posOffset>12065</wp:posOffset>
                </wp:positionV>
                <wp:extent cx="216000" cy="485775"/>
                <wp:effectExtent l="19050" t="0" r="12700" b="47625"/>
                <wp:wrapNone/>
                <wp:docPr id="19" name="Down Arrow 19"/>
                <wp:cNvGraphicFramePr/>
                <a:graphic xmlns:a="http://schemas.openxmlformats.org/drawingml/2006/main">
                  <a:graphicData uri="http://schemas.microsoft.com/office/word/2010/wordprocessingShape">
                    <wps:wsp>
                      <wps:cNvSpPr/>
                      <wps:spPr>
                        <a:xfrm>
                          <a:off x="0" y="0"/>
                          <a:ext cx="216000" cy="485775"/>
                        </a:xfrm>
                        <a:prstGeom prst="downArrow">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0E26B" w14:textId="77777777" w:rsidR="0095501B" w:rsidRDefault="0095501B" w:rsidP="0095501B">
                            <w:pPr>
                              <w:jc w:val="center"/>
                            </w:pPr>
                            <w:r w:rsidRPr="0095501B">
                              <w:rPr>
                                <w:noProof/>
                              </w:rPr>
                              <w:drawing>
                                <wp:inline distT="0" distB="0" distL="0" distR="0" wp14:anchorId="5242C45E" wp14:editId="66742050">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C726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left:0;text-align:left;margin-left:0;margin-top:.95pt;width:17pt;height:38.25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zclQIAAMYFAAAOAAAAZHJzL2Uyb0RvYy54bWysVE1v2zAMvQ/YfxB0X20HST+COkXQosOA&#10;oi3WDj0rslQbkEWNUmJnv36U7LhdV+xQ7CKLIvlIPpM8v+hbw3YKfQO25MVRzpmyEqrGPpf8x+P1&#10;l1POfBC2EgasKvleeX6x+vzpvHNLNYMaTKWQEYj1y86VvA7BLbPMy1q1wh+BU5aUGrAVgUR8zioU&#10;HaG3Jpvl+XHWAVYOQSrv6fVqUPJVwtdayXCntVeBmZJTbiGdmM5NPLPVuVg+o3B1I8c0xAeyaEVj&#10;KegEdSWCYFts/oJqG4ngQYcjCW0GWjdSpRqomiJ/U81DLZxKtRA53k00+f8HK29398iaiv7dGWdW&#10;tPSPrqCzbI0IHaNHYqhzfkmGD+4eR8nTNZbba2zjlwphfWJ1P7Gq+sAkPc6K4zwn7iWp5qeLk5NF&#10;xMxenB368FVBy+Kl5BWFT9EToWJ348Ngf7CLAT2YprpujElC7BZ1aZDtBP1nIaWy4RDlD0tjP+xM&#10;CUfvLJIxlJ9uYW9UxDT2u9JEZCw4JZ5a+G1SxaCqRaWGXBdETepCgp88EjsJMCJrqnLCHgHeK7gY&#10;aR3to6tKEzA55/9KbOB48kiRwYbJuW0s4HsAJkyRB/sDSQM1kaXQb/qxczZQ7anjEIZR9E5eN/Tb&#10;b4QP9wJp9qhTaJ+EOzq0ga7kMN44qwF/vfce7WkkSMtZR7Nccv9zK1BxZr5ZGpazYj6Pw5+E+eJk&#10;RgK+1mxea+y2vQRqo4I2l5PpGu2DOVw1QvtEa2cdo5JKWEmxSy4DHoTLMOwYWlxSrdfJjAbeiXBj&#10;H5yM4JHg2NGP/ZNAN/Z+oKG5hcPci+Wb7h9so6eF9TaAbtJoRIoHXkfqaVmkHhoXW9xGr+Vk9bJ+&#10;V78BAAD//wMAUEsDBBQABgAIAAAAIQA+U2dX2wAAAAQBAAAPAAAAZHJzL2Rvd25yZXYueG1sTI/N&#10;TsMwEITvSH0Haytxow4lQBviVFUlJATl0B/E1YmXOGq8jmK3CW/PcoLj7KxmvslXo2vFBfvQeFJw&#10;O0tAIFXeNFQrOB6ebxYgQtRkdOsJFXxjgFUxucp1ZvxAO7zsYy04hEKmFdgYu0zKUFl0Osx8h8Te&#10;l++djiz7WppeDxzuWjlPkgfpdEPcYHWHG4vVaX92Cu7Dx/ptKOPu9FrTyyH9fLfb41Kp6+m4fgIR&#10;cYx/z/CLz+hQMFPpz2SCaBXwkMjXJQg271KWpYLHRQqyyOV/+OIHAAD//wMAUEsBAi0AFAAGAAgA&#10;AAAhALaDOJL+AAAA4QEAABMAAAAAAAAAAAAAAAAAAAAAAFtDb250ZW50X1R5cGVzXS54bWxQSwEC&#10;LQAUAAYACAAAACEAOP0h/9YAAACUAQAACwAAAAAAAAAAAAAAAAAvAQAAX3JlbHMvLnJlbHNQSwEC&#10;LQAUAAYACAAAACEAdMmc3JUCAADGBQAADgAAAAAAAAAAAAAAAAAuAgAAZHJzL2Uyb0RvYy54bWxQ&#10;SwECLQAUAAYACAAAACEAPlNnV9sAAAAEAQAADwAAAAAAAAAAAAAAAADvBAAAZHJzL2Rvd25yZXYu&#10;eG1sUEsFBgAAAAAEAAQA8wAAAPcFAAAAAA==&#10;" adj="16798" fillcolor="#4472c4 [3208]" strokecolor="#4472c4 [3208]" strokeweight="1pt">
                <v:textbox>
                  <w:txbxContent>
                    <w:p w14:paraId="4BA0E26B" w14:textId="77777777" w:rsidR="0095501B" w:rsidRDefault="0095501B" w:rsidP="0095501B">
                      <w:pPr>
                        <w:jc w:val="center"/>
                      </w:pPr>
                      <w:r w:rsidRPr="0095501B">
                        <w:rPr>
                          <w:noProof/>
                        </w:rPr>
                        <w:drawing>
                          <wp:inline distT="0" distB="0" distL="0" distR="0" wp14:anchorId="5242C45E" wp14:editId="66742050">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v:shape>
            </w:pict>
          </mc:Fallback>
        </mc:AlternateContent>
      </w:r>
    </w:p>
    <w:p w14:paraId="16C99C84" w14:textId="77777777" w:rsidR="00515109" w:rsidRDefault="00515109" w:rsidP="007D3F45">
      <w:pPr>
        <w:spacing w:line="278" w:lineRule="auto"/>
        <w:ind w:left="100" w:right="1658"/>
        <w:rPr>
          <w:rFonts w:ascii="Calibri Light"/>
          <w:color w:val="2D74B5"/>
          <w:sz w:val="24"/>
        </w:rPr>
      </w:pPr>
    </w:p>
    <w:tbl>
      <w:tblPr>
        <w:tblStyle w:val="TableGrid"/>
        <w:tblW w:w="5000" w:type="pct"/>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CellMar>
          <w:left w:w="57" w:type="dxa"/>
          <w:right w:w="57" w:type="dxa"/>
        </w:tblCellMar>
        <w:tblLook w:val="04A0" w:firstRow="1" w:lastRow="0" w:firstColumn="1" w:lastColumn="0" w:noHBand="0" w:noVBand="1"/>
      </w:tblPr>
      <w:tblGrid>
        <w:gridCol w:w="396"/>
        <w:gridCol w:w="8610"/>
      </w:tblGrid>
      <w:tr w:rsidR="00A04618" w14:paraId="2AF1CB56" w14:textId="77777777" w:rsidTr="00C426D8">
        <w:trPr>
          <w:cantSplit/>
          <w:trHeight w:val="1134"/>
        </w:trPr>
        <w:tc>
          <w:tcPr>
            <w:tcW w:w="216" w:type="pct"/>
            <w:shd w:val="clear" w:color="auto" w:fill="4472C4" w:themeFill="accent5"/>
            <w:textDirection w:val="btLr"/>
          </w:tcPr>
          <w:p w14:paraId="4F8630DF" w14:textId="77777777" w:rsidR="00A04618" w:rsidRDefault="00A04618" w:rsidP="00A04618">
            <w:pPr>
              <w:ind w:left="113" w:right="113"/>
              <w:jc w:val="center"/>
            </w:pPr>
            <w:r w:rsidRPr="00C426D8">
              <w:rPr>
                <w:b/>
                <w:color w:val="FFFFFF" w:themeColor="background1"/>
              </w:rPr>
              <w:lastRenderedPageBreak/>
              <w:t>What should we do?</w:t>
            </w:r>
          </w:p>
        </w:tc>
        <w:tc>
          <w:tcPr>
            <w:tcW w:w="4784" w:type="pct"/>
          </w:tcPr>
          <w:p w14:paraId="6A0DA856" w14:textId="77777777" w:rsidR="00AF6274" w:rsidRPr="00AF6274" w:rsidRDefault="00AF6274" w:rsidP="00C426D8">
            <w:pPr>
              <w:shd w:val="clear" w:color="auto" w:fill="4472C4" w:themeFill="accent5"/>
              <w:rPr>
                <w:b/>
                <w:color w:val="FFFFFF" w:themeColor="background1"/>
                <w:sz w:val="20"/>
              </w:rPr>
            </w:pPr>
            <w:r w:rsidRPr="00AF6274">
              <w:rPr>
                <w:b/>
                <w:color w:val="FFFFFF" w:themeColor="background1"/>
                <w:sz w:val="20"/>
              </w:rPr>
              <w:t xml:space="preserve">Support teachers across all disciplines to develop a deliberate focus on how to: </w:t>
            </w:r>
          </w:p>
          <w:p w14:paraId="28FFD677" w14:textId="77777777" w:rsidR="00AF6274" w:rsidRPr="00AF6274" w:rsidRDefault="00AF6274" w:rsidP="00AF6274">
            <w:pPr>
              <w:pStyle w:val="ListParagraph"/>
              <w:numPr>
                <w:ilvl w:val="0"/>
                <w:numId w:val="1"/>
              </w:numPr>
              <w:rPr>
                <w:sz w:val="20"/>
              </w:rPr>
            </w:pPr>
            <w:r w:rsidRPr="00AF6274">
              <w:rPr>
                <w:sz w:val="20"/>
              </w:rPr>
              <w:t xml:space="preserve">understand within and across disciplines the crucial role of language/s and culture/s in learning for diverse students and teachers and encourage students to draw on their linguistic and cultural repertoires </w:t>
            </w:r>
          </w:p>
          <w:p w14:paraId="79D36A4B" w14:textId="77777777" w:rsidR="00AF6274" w:rsidRPr="00AF6274" w:rsidRDefault="00AF6274" w:rsidP="00AF6274">
            <w:pPr>
              <w:pStyle w:val="ListParagraph"/>
              <w:numPr>
                <w:ilvl w:val="0"/>
                <w:numId w:val="1"/>
              </w:numPr>
              <w:rPr>
                <w:sz w:val="20"/>
              </w:rPr>
            </w:pPr>
            <w:r w:rsidRPr="00AF6274">
              <w:rPr>
                <w:sz w:val="20"/>
              </w:rPr>
              <w:t xml:space="preserve">use experiential and personalised learning that engages students in peer-to-peer collaboration in order to exchange, interpret and create new knowledge </w:t>
            </w:r>
          </w:p>
          <w:p w14:paraId="3EA1C1FF" w14:textId="77777777" w:rsidR="00AF6274" w:rsidRPr="00AF6274" w:rsidRDefault="00AF6274" w:rsidP="00AF6274">
            <w:pPr>
              <w:pStyle w:val="ListParagraph"/>
              <w:numPr>
                <w:ilvl w:val="0"/>
                <w:numId w:val="1"/>
              </w:numPr>
              <w:rPr>
                <w:sz w:val="20"/>
              </w:rPr>
            </w:pPr>
            <w:r w:rsidRPr="00AF6274">
              <w:rPr>
                <w:sz w:val="20"/>
              </w:rPr>
              <w:t xml:space="preserve">create opportunities for students to reflect on and reflexively respond to their own and others’ understandings of themselves/others in diversity through a coherent curriculum design in which intercultural learning permeates all aspects of the course </w:t>
            </w:r>
          </w:p>
          <w:p w14:paraId="5E9C2C20" w14:textId="77777777" w:rsidR="00AF6274" w:rsidRPr="00AF6274" w:rsidRDefault="00AF6274" w:rsidP="00AF6274">
            <w:pPr>
              <w:pStyle w:val="ListParagraph"/>
              <w:numPr>
                <w:ilvl w:val="0"/>
                <w:numId w:val="1"/>
              </w:numPr>
              <w:rPr>
                <w:sz w:val="20"/>
              </w:rPr>
            </w:pPr>
            <w:r w:rsidRPr="00AF6274">
              <w:rPr>
                <w:sz w:val="20"/>
              </w:rPr>
              <w:t xml:space="preserve">provide linguistic and conceptual scaffolding in learning, teaching, assessment and feedback to students to provide coherent learning pathways </w:t>
            </w:r>
          </w:p>
          <w:p w14:paraId="2855B552" w14:textId="77777777" w:rsidR="00AF6274" w:rsidRPr="00AF6274" w:rsidRDefault="00AF6274" w:rsidP="00AF6274">
            <w:pPr>
              <w:pStyle w:val="ListParagraph"/>
              <w:numPr>
                <w:ilvl w:val="0"/>
                <w:numId w:val="1"/>
              </w:numPr>
              <w:rPr>
                <w:sz w:val="20"/>
              </w:rPr>
            </w:pPr>
            <w:r w:rsidRPr="00AF6274">
              <w:rPr>
                <w:sz w:val="20"/>
              </w:rPr>
              <w:t xml:space="preserve">develop among teachers shared understandings and approaches to learning, teaching and assessment through dialogue, collaboration and reflexivity during the life of a course </w:t>
            </w:r>
          </w:p>
          <w:p w14:paraId="7B19E1A1" w14:textId="77777777" w:rsidR="00AF6274" w:rsidRPr="00A04618" w:rsidRDefault="00AF6274" w:rsidP="00AF6274">
            <w:pPr>
              <w:pStyle w:val="ListParagraph"/>
              <w:numPr>
                <w:ilvl w:val="0"/>
                <w:numId w:val="1"/>
              </w:numPr>
              <w:rPr>
                <w:sz w:val="20"/>
              </w:rPr>
            </w:pPr>
            <w:r w:rsidRPr="00AF6274">
              <w:rPr>
                <w:sz w:val="20"/>
              </w:rPr>
              <w:t>understand within and across disciplines the role of language/s and culture/s in developing academic and professional literacies for diverse students.</w:t>
            </w:r>
          </w:p>
        </w:tc>
      </w:tr>
    </w:tbl>
    <w:p w14:paraId="191260CF" w14:textId="77777777" w:rsidR="0006512D" w:rsidRDefault="0006512D" w:rsidP="0006512D"/>
    <w:p w14:paraId="2391FAB4" w14:textId="700BBAD1" w:rsidR="002F4637" w:rsidRDefault="0006512D" w:rsidP="00ED320C">
      <w:r w:rsidRPr="0006512D">
        <w:t>O’Neill, F., Scarino, A., Crichton, J. 2019</w:t>
      </w:r>
      <w:r w:rsidR="00B634EF">
        <w:t>.</w:t>
      </w:r>
      <w:r w:rsidR="00E700DE">
        <w:t xml:space="preserve"> </w:t>
      </w:r>
      <w:r w:rsidR="00F85543">
        <w:t xml:space="preserve">‘The Intercultural Learning Project’ </w:t>
      </w:r>
      <w:r w:rsidR="00E700DE">
        <w:t xml:space="preserve">Executive Summary </w:t>
      </w:r>
      <w:r w:rsidR="00F85543">
        <w:t xml:space="preserve">- </w:t>
      </w:r>
      <w:r w:rsidR="00E700DE">
        <w:t>Case Study</w:t>
      </w:r>
      <w:bookmarkStart w:id="0" w:name="_GoBack"/>
      <w:bookmarkEnd w:id="0"/>
    </w:p>
    <w:sectPr w:rsidR="002F463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525E0" w14:textId="77777777" w:rsidR="00153076" w:rsidRDefault="00153076" w:rsidP="00097280">
      <w:pPr>
        <w:spacing w:after="0" w:line="240" w:lineRule="auto"/>
      </w:pPr>
      <w:r>
        <w:separator/>
      </w:r>
    </w:p>
  </w:endnote>
  <w:endnote w:type="continuationSeparator" w:id="0">
    <w:p w14:paraId="1AB01585" w14:textId="77777777" w:rsidR="00153076" w:rsidRDefault="00153076" w:rsidP="0009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DD3BB" w14:textId="77777777" w:rsidR="00153076" w:rsidRDefault="00153076" w:rsidP="00097280">
      <w:pPr>
        <w:spacing w:after="0" w:line="240" w:lineRule="auto"/>
      </w:pPr>
      <w:r>
        <w:separator/>
      </w:r>
    </w:p>
  </w:footnote>
  <w:footnote w:type="continuationSeparator" w:id="0">
    <w:p w14:paraId="15447338" w14:textId="77777777" w:rsidR="00153076" w:rsidRDefault="00153076" w:rsidP="00097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B439" w14:textId="77777777" w:rsidR="00FD0E57" w:rsidRPr="004A1F9D" w:rsidRDefault="00FD0E57" w:rsidP="00FD0E57">
    <w:pPr>
      <w:pStyle w:val="Heading2"/>
    </w:pPr>
    <w:r w:rsidRPr="004A1F9D">
      <w:t>Executive Summary: Study 2 2015</w:t>
    </w:r>
    <w:r>
      <w:t xml:space="preserve"> ‘The Intercultural Learning Project’</w:t>
    </w:r>
  </w:p>
  <w:p w14:paraId="10D43313" w14:textId="77777777" w:rsidR="00FD0E57" w:rsidRDefault="00FD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28F"/>
    <w:multiLevelType w:val="hybridMultilevel"/>
    <w:tmpl w:val="6B367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317D10"/>
    <w:multiLevelType w:val="hybridMultilevel"/>
    <w:tmpl w:val="688E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8E7A46"/>
    <w:multiLevelType w:val="hybridMultilevel"/>
    <w:tmpl w:val="68F8827E"/>
    <w:lvl w:ilvl="0" w:tplc="7FF2EB74">
      <w:start w:val="1"/>
      <w:numFmt w:val="bullet"/>
      <w:lvlText w:val=""/>
      <w:lvlJc w:val="left"/>
      <w:pPr>
        <w:tabs>
          <w:tab w:val="num" w:pos="720"/>
        </w:tabs>
        <w:ind w:left="720" w:hanging="360"/>
      </w:pPr>
      <w:rPr>
        <w:rFonts w:ascii="Symbol" w:hAnsi="Symbol" w:hint="default"/>
      </w:rPr>
    </w:lvl>
    <w:lvl w:ilvl="1" w:tplc="7FB6DC94" w:tentative="1">
      <w:start w:val="1"/>
      <w:numFmt w:val="bullet"/>
      <w:lvlText w:val=""/>
      <w:lvlJc w:val="left"/>
      <w:pPr>
        <w:tabs>
          <w:tab w:val="num" w:pos="1440"/>
        </w:tabs>
        <w:ind w:left="1440" w:hanging="360"/>
      </w:pPr>
      <w:rPr>
        <w:rFonts w:ascii="Symbol" w:hAnsi="Symbol" w:hint="default"/>
      </w:rPr>
    </w:lvl>
    <w:lvl w:ilvl="2" w:tplc="BCE6552A" w:tentative="1">
      <w:start w:val="1"/>
      <w:numFmt w:val="bullet"/>
      <w:lvlText w:val=""/>
      <w:lvlJc w:val="left"/>
      <w:pPr>
        <w:tabs>
          <w:tab w:val="num" w:pos="2160"/>
        </w:tabs>
        <w:ind w:left="2160" w:hanging="360"/>
      </w:pPr>
      <w:rPr>
        <w:rFonts w:ascii="Symbol" w:hAnsi="Symbol" w:hint="default"/>
      </w:rPr>
    </w:lvl>
    <w:lvl w:ilvl="3" w:tplc="BD96CAEE" w:tentative="1">
      <w:start w:val="1"/>
      <w:numFmt w:val="bullet"/>
      <w:lvlText w:val=""/>
      <w:lvlJc w:val="left"/>
      <w:pPr>
        <w:tabs>
          <w:tab w:val="num" w:pos="2880"/>
        </w:tabs>
        <w:ind w:left="2880" w:hanging="360"/>
      </w:pPr>
      <w:rPr>
        <w:rFonts w:ascii="Symbol" w:hAnsi="Symbol" w:hint="default"/>
      </w:rPr>
    </w:lvl>
    <w:lvl w:ilvl="4" w:tplc="C81E9DC6" w:tentative="1">
      <w:start w:val="1"/>
      <w:numFmt w:val="bullet"/>
      <w:lvlText w:val=""/>
      <w:lvlJc w:val="left"/>
      <w:pPr>
        <w:tabs>
          <w:tab w:val="num" w:pos="3600"/>
        </w:tabs>
        <w:ind w:left="3600" w:hanging="360"/>
      </w:pPr>
      <w:rPr>
        <w:rFonts w:ascii="Symbol" w:hAnsi="Symbol" w:hint="default"/>
      </w:rPr>
    </w:lvl>
    <w:lvl w:ilvl="5" w:tplc="428C4AF2" w:tentative="1">
      <w:start w:val="1"/>
      <w:numFmt w:val="bullet"/>
      <w:lvlText w:val=""/>
      <w:lvlJc w:val="left"/>
      <w:pPr>
        <w:tabs>
          <w:tab w:val="num" w:pos="4320"/>
        </w:tabs>
        <w:ind w:left="4320" w:hanging="360"/>
      </w:pPr>
      <w:rPr>
        <w:rFonts w:ascii="Symbol" w:hAnsi="Symbol" w:hint="default"/>
      </w:rPr>
    </w:lvl>
    <w:lvl w:ilvl="6" w:tplc="A27E68FA" w:tentative="1">
      <w:start w:val="1"/>
      <w:numFmt w:val="bullet"/>
      <w:lvlText w:val=""/>
      <w:lvlJc w:val="left"/>
      <w:pPr>
        <w:tabs>
          <w:tab w:val="num" w:pos="5040"/>
        </w:tabs>
        <w:ind w:left="5040" w:hanging="360"/>
      </w:pPr>
      <w:rPr>
        <w:rFonts w:ascii="Symbol" w:hAnsi="Symbol" w:hint="default"/>
      </w:rPr>
    </w:lvl>
    <w:lvl w:ilvl="7" w:tplc="C9AC6D94" w:tentative="1">
      <w:start w:val="1"/>
      <w:numFmt w:val="bullet"/>
      <w:lvlText w:val=""/>
      <w:lvlJc w:val="left"/>
      <w:pPr>
        <w:tabs>
          <w:tab w:val="num" w:pos="5760"/>
        </w:tabs>
        <w:ind w:left="5760" w:hanging="360"/>
      </w:pPr>
      <w:rPr>
        <w:rFonts w:ascii="Symbol" w:hAnsi="Symbol" w:hint="default"/>
      </w:rPr>
    </w:lvl>
    <w:lvl w:ilvl="8" w:tplc="337095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0AB5AC1"/>
    <w:multiLevelType w:val="hybridMultilevel"/>
    <w:tmpl w:val="AECA22CA"/>
    <w:lvl w:ilvl="0" w:tplc="5664A800">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37"/>
    <w:rsid w:val="00000FA0"/>
    <w:rsid w:val="000035A9"/>
    <w:rsid w:val="000132FF"/>
    <w:rsid w:val="000163F8"/>
    <w:rsid w:val="00016B8E"/>
    <w:rsid w:val="00017F59"/>
    <w:rsid w:val="00027337"/>
    <w:rsid w:val="00032AFA"/>
    <w:rsid w:val="00044111"/>
    <w:rsid w:val="000467A6"/>
    <w:rsid w:val="000476E5"/>
    <w:rsid w:val="00047CBB"/>
    <w:rsid w:val="00053480"/>
    <w:rsid w:val="00057897"/>
    <w:rsid w:val="00057984"/>
    <w:rsid w:val="00064A15"/>
    <w:rsid w:val="0006512D"/>
    <w:rsid w:val="000673C3"/>
    <w:rsid w:val="00086DFD"/>
    <w:rsid w:val="0009032A"/>
    <w:rsid w:val="00095BD1"/>
    <w:rsid w:val="00096070"/>
    <w:rsid w:val="00097280"/>
    <w:rsid w:val="000A1F08"/>
    <w:rsid w:val="000B10AC"/>
    <w:rsid w:val="000D089F"/>
    <w:rsid w:val="00124558"/>
    <w:rsid w:val="00140C70"/>
    <w:rsid w:val="00145A4C"/>
    <w:rsid w:val="001514CB"/>
    <w:rsid w:val="00153076"/>
    <w:rsid w:val="00156EE7"/>
    <w:rsid w:val="00175130"/>
    <w:rsid w:val="001849C1"/>
    <w:rsid w:val="001A13B5"/>
    <w:rsid w:val="001A74AA"/>
    <w:rsid w:val="001B2106"/>
    <w:rsid w:val="001C02FB"/>
    <w:rsid w:val="001C3596"/>
    <w:rsid w:val="001C653A"/>
    <w:rsid w:val="001D1DCF"/>
    <w:rsid w:val="001E1B6E"/>
    <w:rsid w:val="001E4B59"/>
    <w:rsid w:val="001E76EC"/>
    <w:rsid w:val="001F3401"/>
    <w:rsid w:val="00203CE7"/>
    <w:rsid w:val="00213622"/>
    <w:rsid w:val="00220038"/>
    <w:rsid w:val="002254AE"/>
    <w:rsid w:val="00226414"/>
    <w:rsid w:val="002314D3"/>
    <w:rsid w:val="00235CAD"/>
    <w:rsid w:val="00240AAA"/>
    <w:rsid w:val="00242A9F"/>
    <w:rsid w:val="0024358B"/>
    <w:rsid w:val="00246042"/>
    <w:rsid w:val="00252A2E"/>
    <w:rsid w:val="00256420"/>
    <w:rsid w:val="002753BB"/>
    <w:rsid w:val="002B49C0"/>
    <w:rsid w:val="002D3A70"/>
    <w:rsid w:val="002E5B1C"/>
    <w:rsid w:val="002F4637"/>
    <w:rsid w:val="002F6A76"/>
    <w:rsid w:val="0030240B"/>
    <w:rsid w:val="00316CE5"/>
    <w:rsid w:val="00324C72"/>
    <w:rsid w:val="00333512"/>
    <w:rsid w:val="003371F7"/>
    <w:rsid w:val="0035056E"/>
    <w:rsid w:val="00354B0E"/>
    <w:rsid w:val="003669BC"/>
    <w:rsid w:val="003851BC"/>
    <w:rsid w:val="00395F3E"/>
    <w:rsid w:val="003C0526"/>
    <w:rsid w:val="003C5CA0"/>
    <w:rsid w:val="003C5F61"/>
    <w:rsid w:val="003C70D0"/>
    <w:rsid w:val="003E6AC7"/>
    <w:rsid w:val="003F4AFD"/>
    <w:rsid w:val="003F4E56"/>
    <w:rsid w:val="003F5052"/>
    <w:rsid w:val="003F5392"/>
    <w:rsid w:val="00401FAB"/>
    <w:rsid w:val="00405BFC"/>
    <w:rsid w:val="004073FC"/>
    <w:rsid w:val="00412AD4"/>
    <w:rsid w:val="00415DE3"/>
    <w:rsid w:val="00423678"/>
    <w:rsid w:val="00424784"/>
    <w:rsid w:val="004305D7"/>
    <w:rsid w:val="004347E4"/>
    <w:rsid w:val="00442F88"/>
    <w:rsid w:val="00455066"/>
    <w:rsid w:val="00456F67"/>
    <w:rsid w:val="00460069"/>
    <w:rsid w:val="00462C38"/>
    <w:rsid w:val="00464996"/>
    <w:rsid w:val="00465798"/>
    <w:rsid w:val="00484B78"/>
    <w:rsid w:val="0048673F"/>
    <w:rsid w:val="004A0644"/>
    <w:rsid w:val="004A1F9D"/>
    <w:rsid w:val="004A5971"/>
    <w:rsid w:val="004A69FF"/>
    <w:rsid w:val="004A7042"/>
    <w:rsid w:val="004B3649"/>
    <w:rsid w:val="004B39B4"/>
    <w:rsid w:val="004B614A"/>
    <w:rsid w:val="004C45E2"/>
    <w:rsid w:val="004D43C9"/>
    <w:rsid w:val="004D559D"/>
    <w:rsid w:val="004D6181"/>
    <w:rsid w:val="004D6416"/>
    <w:rsid w:val="004F45A5"/>
    <w:rsid w:val="004F4D6C"/>
    <w:rsid w:val="00515109"/>
    <w:rsid w:val="00523BF6"/>
    <w:rsid w:val="0053122A"/>
    <w:rsid w:val="005312E3"/>
    <w:rsid w:val="00531A17"/>
    <w:rsid w:val="00532795"/>
    <w:rsid w:val="0053579B"/>
    <w:rsid w:val="0054048C"/>
    <w:rsid w:val="00544FE4"/>
    <w:rsid w:val="00547A19"/>
    <w:rsid w:val="005576B7"/>
    <w:rsid w:val="005635E1"/>
    <w:rsid w:val="005663EC"/>
    <w:rsid w:val="00581486"/>
    <w:rsid w:val="005827D2"/>
    <w:rsid w:val="00586867"/>
    <w:rsid w:val="0059095C"/>
    <w:rsid w:val="00595458"/>
    <w:rsid w:val="00597B78"/>
    <w:rsid w:val="005A407C"/>
    <w:rsid w:val="005A43D0"/>
    <w:rsid w:val="005D483D"/>
    <w:rsid w:val="005D5EB5"/>
    <w:rsid w:val="005E74D2"/>
    <w:rsid w:val="005F2DA7"/>
    <w:rsid w:val="00620EC0"/>
    <w:rsid w:val="0062215B"/>
    <w:rsid w:val="006258CA"/>
    <w:rsid w:val="00631CE9"/>
    <w:rsid w:val="0063352E"/>
    <w:rsid w:val="00642F06"/>
    <w:rsid w:val="00664060"/>
    <w:rsid w:val="00667428"/>
    <w:rsid w:val="006677A9"/>
    <w:rsid w:val="00676724"/>
    <w:rsid w:val="006818BF"/>
    <w:rsid w:val="00694B0B"/>
    <w:rsid w:val="00697028"/>
    <w:rsid w:val="006A05B4"/>
    <w:rsid w:val="006A7773"/>
    <w:rsid w:val="006B5659"/>
    <w:rsid w:val="006C1E57"/>
    <w:rsid w:val="006C3DE6"/>
    <w:rsid w:val="006D16B2"/>
    <w:rsid w:val="006D4439"/>
    <w:rsid w:val="006D7B5D"/>
    <w:rsid w:val="006E38A3"/>
    <w:rsid w:val="006E41D7"/>
    <w:rsid w:val="006F38DC"/>
    <w:rsid w:val="006F6813"/>
    <w:rsid w:val="00704ED5"/>
    <w:rsid w:val="007155F6"/>
    <w:rsid w:val="0072536F"/>
    <w:rsid w:val="0074337C"/>
    <w:rsid w:val="0075644D"/>
    <w:rsid w:val="00771062"/>
    <w:rsid w:val="00782161"/>
    <w:rsid w:val="0078410F"/>
    <w:rsid w:val="00790B20"/>
    <w:rsid w:val="007C36BC"/>
    <w:rsid w:val="007D3F45"/>
    <w:rsid w:val="007E3F7A"/>
    <w:rsid w:val="007E6EED"/>
    <w:rsid w:val="007E7ED5"/>
    <w:rsid w:val="00814751"/>
    <w:rsid w:val="00814916"/>
    <w:rsid w:val="0082199C"/>
    <w:rsid w:val="0082318D"/>
    <w:rsid w:val="00840DD5"/>
    <w:rsid w:val="00843BFC"/>
    <w:rsid w:val="0084660F"/>
    <w:rsid w:val="00850B69"/>
    <w:rsid w:val="00855586"/>
    <w:rsid w:val="008603B0"/>
    <w:rsid w:val="008654EF"/>
    <w:rsid w:val="008746F7"/>
    <w:rsid w:val="0087575A"/>
    <w:rsid w:val="00880226"/>
    <w:rsid w:val="00884B56"/>
    <w:rsid w:val="008925E9"/>
    <w:rsid w:val="008A0302"/>
    <w:rsid w:val="008A066B"/>
    <w:rsid w:val="008A0F2F"/>
    <w:rsid w:val="008D362E"/>
    <w:rsid w:val="008D690E"/>
    <w:rsid w:val="009040B7"/>
    <w:rsid w:val="009056A2"/>
    <w:rsid w:val="00922379"/>
    <w:rsid w:val="00922DB1"/>
    <w:rsid w:val="00934189"/>
    <w:rsid w:val="00941F15"/>
    <w:rsid w:val="0095501B"/>
    <w:rsid w:val="00963836"/>
    <w:rsid w:val="00970556"/>
    <w:rsid w:val="00977882"/>
    <w:rsid w:val="009838AE"/>
    <w:rsid w:val="009A2E49"/>
    <w:rsid w:val="009A66DE"/>
    <w:rsid w:val="009C4AED"/>
    <w:rsid w:val="009E181A"/>
    <w:rsid w:val="009E2DC5"/>
    <w:rsid w:val="009F393A"/>
    <w:rsid w:val="00A03BD0"/>
    <w:rsid w:val="00A04618"/>
    <w:rsid w:val="00A1584F"/>
    <w:rsid w:val="00A16DDE"/>
    <w:rsid w:val="00A31725"/>
    <w:rsid w:val="00A3208F"/>
    <w:rsid w:val="00A4136F"/>
    <w:rsid w:val="00A5265E"/>
    <w:rsid w:val="00A55B86"/>
    <w:rsid w:val="00A56136"/>
    <w:rsid w:val="00A60A75"/>
    <w:rsid w:val="00A644A0"/>
    <w:rsid w:val="00A645B6"/>
    <w:rsid w:val="00A8188C"/>
    <w:rsid w:val="00A82BE4"/>
    <w:rsid w:val="00A87818"/>
    <w:rsid w:val="00A87C14"/>
    <w:rsid w:val="00A9520F"/>
    <w:rsid w:val="00A956F4"/>
    <w:rsid w:val="00AC2A4A"/>
    <w:rsid w:val="00AD0A59"/>
    <w:rsid w:val="00AE3945"/>
    <w:rsid w:val="00AF6274"/>
    <w:rsid w:val="00B02837"/>
    <w:rsid w:val="00B16488"/>
    <w:rsid w:val="00B2652F"/>
    <w:rsid w:val="00B31192"/>
    <w:rsid w:val="00B40EBA"/>
    <w:rsid w:val="00B42614"/>
    <w:rsid w:val="00B429A0"/>
    <w:rsid w:val="00B61933"/>
    <w:rsid w:val="00B634EF"/>
    <w:rsid w:val="00B63CBA"/>
    <w:rsid w:val="00B74A05"/>
    <w:rsid w:val="00B85C95"/>
    <w:rsid w:val="00B8698D"/>
    <w:rsid w:val="00B91164"/>
    <w:rsid w:val="00B92C53"/>
    <w:rsid w:val="00BA201B"/>
    <w:rsid w:val="00BA66F5"/>
    <w:rsid w:val="00BB0CCF"/>
    <w:rsid w:val="00BB43E6"/>
    <w:rsid w:val="00BB442B"/>
    <w:rsid w:val="00BD0D93"/>
    <w:rsid w:val="00BD1083"/>
    <w:rsid w:val="00BD3194"/>
    <w:rsid w:val="00BD3696"/>
    <w:rsid w:val="00BE262F"/>
    <w:rsid w:val="00BE3553"/>
    <w:rsid w:val="00BE7F5F"/>
    <w:rsid w:val="00BF014A"/>
    <w:rsid w:val="00C0076D"/>
    <w:rsid w:val="00C0760D"/>
    <w:rsid w:val="00C15597"/>
    <w:rsid w:val="00C27904"/>
    <w:rsid w:val="00C426D8"/>
    <w:rsid w:val="00C52AB0"/>
    <w:rsid w:val="00C67E1E"/>
    <w:rsid w:val="00C67F49"/>
    <w:rsid w:val="00C74AB0"/>
    <w:rsid w:val="00CA6ACA"/>
    <w:rsid w:val="00CA7F99"/>
    <w:rsid w:val="00CC47CE"/>
    <w:rsid w:val="00CC650C"/>
    <w:rsid w:val="00CD0EDE"/>
    <w:rsid w:val="00CD2F20"/>
    <w:rsid w:val="00CE1814"/>
    <w:rsid w:val="00CF0C44"/>
    <w:rsid w:val="00CF198C"/>
    <w:rsid w:val="00CF3D18"/>
    <w:rsid w:val="00D03F8F"/>
    <w:rsid w:val="00D05B81"/>
    <w:rsid w:val="00D111EE"/>
    <w:rsid w:val="00D124AD"/>
    <w:rsid w:val="00D14C88"/>
    <w:rsid w:val="00D177E4"/>
    <w:rsid w:val="00D23EAF"/>
    <w:rsid w:val="00D30E2E"/>
    <w:rsid w:val="00D3776B"/>
    <w:rsid w:val="00D632D5"/>
    <w:rsid w:val="00D65ED3"/>
    <w:rsid w:val="00D72F5D"/>
    <w:rsid w:val="00D8156E"/>
    <w:rsid w:val="00D853DF"/>
    <w:rsid w:val="00DC0E8A"/>
    <w:rsid w:val="00DC0FE0"/>
    <w:rsid w:val="00DC1FB2"/>
    <w:rsid w:val="00DC3666"/>
    <w:rsid w:val="00DC45AD"/>
    <w:rsid w:val="00DC4E57"/>
    <w:rsid w:val="00DE3A69"/>
    <w:rsid w:val="00DE3F99"/>
    <w:rsid w:val="00DE4A41"/>
    <w:rsid w:val="00DF0807"/>
    <w:rsid w:val="00DF6EC2"/>
    <w:rsid w:val="00E02B31"/>
    <w:rsid w:val="00E0578E"/>
    <w:rsid w:val="00E1240A"/>
    <w:rsid w:val="00E27514"/>
    <w:rsid w:val="00E32A45"/>
    <w:rsid w:val="00E377D2"/>
    <w:rsid w:val="00E514E2"/>
    <w:rsid w:val="00E54993"/>
    <w:rsid w:val="00E63573"/>
    <w:rsid w:val="00E700DE"/>
    <w:rsid w:val="00E73899"/>
    <w:rsid w:val="00E8591B"/>
    <w:rsid w:val="00E931A0"/>
    <w:rsid w:val="00EA7B22"/>
    <w:rsid w:val="00EC1034"/>
    <w:rsid w:val="00EC4F61"/>
    <w:rsid w:val="00ED320C"/>
    <w:rsid w:val="00ED45AB"/>
    <w:rsid w:val="00EF193C"/>
    <w:rsid w:val="00F162DA"/>
    <w:rsid w:val="00F16C7F"/>
    <w:rsid w:val="00F176AD"/>
    <w:rsid w:val="00F20549"/>
    <w:rsid w:val="00F263F3"/>
    <w:rsid w:val="00F30AC7"/>
    <w:rsid w:val="00F320A2"/>
    <w:rsid w:val="00F36EF8"/>
    <w:rsid w:val="00F42E77"/>
    <w:rsid w:val="00F5055B"/>
    <w:rsid w:val="00F61891"/>
    <w:rsid w:val="00F63DBA"/>
    <w:rsid w:val="00F70F37"/>
    <w:rsid w:val="00F748AD"/>
    <w:rsid w:val="00F75E19"/>
    <w:rsid w:val="00F77234"/>
    <w:rsid w:val="00F84E6D"/>
    <w:rsid w:val="00F85543"/>
    <w:rsid w:val="00F93F14"/>
    <w:rsid w:val="00F96FE0"/>
    <w:rsid w:val="00FA10FC"/>
    <w:rsid w:val="00FB1270"/>
    <w:rsid w:val="00FB2467"/>
    <w:rsid w:val="00FB3D84"/>
    <w:rsid w:val="00FC0E3C"/>
    <w:rsid w:val="00FC1F76"/>
    <w:rsid w:val="00FC4880"/>
    <w:rsid w:val="00FC715A"/>
    <w:rsid w:val="00FD0E57"/>
    <w:rsid w:val="00FD169F"/>
    <w:rsid w:val="00FE1A7E"/>
    <w:rsid w:val="00FE5E00"/>
    <w:rsid w:val="00FF4B66"/>
    <w:rsid w:val="00FF71D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52E0"/>
  <w15:chartTrackingRefBased/>
  <w15:docId w15:val="{55430D79-9207-4425-92EB-EAA19B6A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46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54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6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463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F4637"/>
    <w:pPr>
      <w:ind w:left="720"/>
      <w:contextualSpacing/>
    </w:pPr>
  </w:style>
  <w:style w:type="table" w:styleId="TableGrid">
    <w:name w:val="Table Grid"/>
    <w:basedOn w:val="TableNormal"/>
    <w:uiPriority w:val="39"/>
    <w:rsid w:val="002F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280"/>
  </w:style>
  <w:style w:type="paragraph" w:styleId="Footer">
    <w:name w:val="footer"/>
    <w:basedOn w:val="Normal"/>
    <w:link w:val="FooterChar"/>
    <w:uiPriority w:val="99"/>
    <w:unhideWhenUsed/>
    <w:rsid w:val="00097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280"/>
  </w:style>
  <w:style w:type="character" w:customStyle="1" w:styleId="Heading3Char">
    <w:name w:val="Heading 3 Char"/>
    <w:basedOn w:val="DefaultParagraphFont"/>
    <w:link w:val="Heading3"/>
    <w:uiPriority w:val="9"/>
    <w:rsid w:val="008654E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856314">
      <w:bodyDiv w:val="1"/>
      <w:marLeft w:val="0"/>
      <w:marRight w:val="0"/>
      <w:marTop w:val="0"/>
      <w:marBottom w:val="0"/>
      <w:divBdr>
        <w:top w:val="none" w:sz="0" w:space="0" w:color="auto"/>
        <w:left w:val="none" w:sz="0" w:space="0" w:color="auto"/>
        <w:bottom w:val="none" w:sz="0" w:space="0" w:color="auto"/>
        <w:right w:val="none" w:sz="0" w:space="0" w:color="auto"/>
      </w:divBdr>
      <w:divsChild>
        <w:div w:id="1621492011">
          <w:marLeft w:val="274"/>
          <w:marRight w:val="0"/>
          <w:marTop w:val="0"/>
          <w:marBottom w:val="0"/>
          <w:divBdr>
            <w:top w:val="none" w:sz="0" w:space="0" w:color="auto"/>
            <w:left w:val="none" w:sz="0" w:space="0" w:color="auto"/>
            <w:bottom w:val="none" w:sz="0" w:space="0" w:color="auto"/>
            <w:right w:val="none" w:sz="0" w:space="0" w:color="auto"/>
          </w:divBdr>
        </w:div>
        <w:div w:id="189014477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0.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dc:creator>
  <cp:keywords/>
  <dc:description/>
  <cp:lastModifiedBy>Anne Lonie</cp:lastModifiedBy>
  <cp:revision>7</cp:revision>
  <cp:lastPrinted>2019-05-06T03:49:00Z</cp:lastPrinted>
  <dcterms:created xsi:type="dcterms:W3CDTF">2019-05-06T03:50:00Z</dcterms:created>
  <dcterms:modified xsi:type="dcterms:W3CDTF">2019-05-06T04:02:00Z</dcterms:modified>
</cp:coreProperties>
</file>