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C" w:rsidRDefault="00DF1CB3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FBA0" wp14:editId="38E8F22E">
                <wp:simplePos x="0" y="0"/>
                <wp:positionH relativeFrom="column">
                  <wp:posOffset>-314324</wp:posOffset>
                </wp:positionH>
                <wp:positionV relativeFrom="paragraph">
                  <wp:posOffset>0</wp:posOffset>
                </wp:positionV>
                <wp:extent cx="4953000" cy="8401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401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F1CB3" w:rsidRDefault="00DF1CB3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Intercultural Teaching Competence</w:t>
                            </w:r>
                            <w:r w:rsidR="00E10F02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  <w:p w:rsidR="00DF1CB3" w:rsidRPr="003F398D" w:rsidRDefault="00DF1CB3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F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0;width:390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" fillcolor="#4472c4 [3204]" stroked="f">
                <v:textbox>
                  <w:txbxContent>
                    <w:p w:rsidR="00DF1CB3" w:rsidRDefault="00DF1CB3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Intercultural Teaching Competence</w:t>
                      </w:r>
                      <w:r w:rsidR="00E10F02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1</w:t>
                      </w:r>
                    </w:p>
                    <w:p w:rsidR="00DF1CB3" w:rsidRPr="003F398D" w:rsidRDefault="00DF1CB3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</w:t>
      </w:r>
      <w:r>
        <w:rPr>
          <w:rFonts w:ascii="Calibri" w:hAnsi="Calibri"/>
          <w:b/>
          <w:noProof/>
        </w:rPr>
        <w:drawing>
          <wp:inline distT="0" distB="0" distL="0" distR="0" wp14:anchorId="0488B5D8" wp14:editId="0BB4CDEE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311F91" w:rsidRPr="00311F91" w:rsidRDefault="00F36D4F" w:rsidP="00311F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6210300" cy="1028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28700"/>
                        </a:xfrm>
                        <a:prstGeom prst="roundRect">
                          <a:avLst/>
                        </a:prstGeom>
                        <a:solidFill>
                          <a:srgbClr val="E6A4FA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444" w:rsidRPr="002476B4" w:rsidRDefault="000D2988" w:rsidP="009C544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Provide feedback across cultures in a variety</w:t>
                            </w:r>
                            <w:r w:rsidR="00AA0636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ways</w:t>
                            </w:r>
                            <w:r w:rsidR="009C7077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C7077" w:rsidRPr="002476B4" w:rsidRDefault="009C7077" w:rsidP="009C544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E.g. Effective facilitators adjust their feedback style to the needs of learners and recognise the way feedback is offered and received in the learners’ cultures.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7" style="position:absolute;margin-left:0;margin-top:16.25pt;width:489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" fillcolor="#e6a4fa" strokecolor="#bdd6ee [1304]" strokeweight="1pt">
                <v:stroke joinstyle="miter"/>
                <v:textbox>
                  <w:txbxContent>
                    <w:p w:rsidR="009C5444" w:rsidRPr="002476B4" w:rsidRDefault="000D2988" w:rsidP="009C544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Provide feedback across cultures in a variety</w:t>
                      </w:r>
                      <w:r w:rsidR="00AA0636"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of ways</w:t>
                      </w:r>
                      <w:r w:rsidR="009C7077"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9C7077" w:rsidRPr="002476B4" w:rsidRDefault="009C7077" w:rsidP="009C5444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E.g. Effective facilitators adjust their feedback style to the needs of learners and recognise the way feedback is offered and received in the learners’ cultures.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1F91" w:rsidRDefault="00311F91" w:rsidP="00311F91"/>
    <w:p w:rsidR="009C5444" w:rsidRDefault="009C5444" w:rsidP="00311F91"/>
    <w:p w:rsidR="009C5444" w:rsidRDefault="009C5444" w:rsidP="00311F91"/>
    <w:p w:rsidR="009C5444" w:rsidRDefault="009C5444" w:rsidP="00311F91"/>
    <w:p w:rsidR="009C5444" w:rsidRDefault="009C5444" w:rsidP="00311F91"/>
    <w:p w:rsidR="009C5444" w:rsidRDefault="009C5444" w:rsidP="00311F91"/>
    <w:p w:rsidR="009C5444" w:rsidRDefault="00F36D4F" w:rsidP="00311F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A255" wp14:editId="64C98C97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219825" cy="9334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3450"/>
                        </a:xfrm>
                        <a:prstGeom prst="roundRect">
                          <a:avLst/>
                        </a:prstGeom>
                        <a:solidFill>
                          <a:srgbClr val="A1C0FD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332" w:rsidRPr="002476B4" w:rsidRDefault="009C707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Tailor messages to audiences with different levels of linguistic ability </w:t>
                            </w: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and limit the use of jargon and colloquialisms that may interfere with a give</w:t>
                            </w:r>
                            <w:r w:rsidR="00E10F02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</w:t>
                            </w: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audience’s understanding, especially in interdisciplinary contexts (</w:t>
                            </w:r>
                            <w:proofErr w:type="spellStart"/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Cushner</w:t>
                            </w:r>
                            <w:proofErr w:type="spellEnd"/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&amp; Mahon, 2009).</w:t>
                            </w:r>
                          </w:p>
                          <w:p w:rsidR="00E41332" w:rsidRPr="002476B4" w:rsidRDefault="00E413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A255" id="Rectangle: Rounded Corners 3" o:spid="_x0000_s1028" style="position:absolute;margin-left:0;margin-top:8.5pt;width:489.75pt;height:73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" fillcolor="#a1c0fd" strokecolor="#bdd6ee [1304]" strokeweight="1pt">
                <v:stroke joinstyle="miter"/>
                <v:textbox>
                  <w:txbxContent>
                    <w:p w:rsidR="00E41332" w:rsidRPr="002476B4" w:rsidRDefault="009C7077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Tailor messages to audiences with different levels of linguistic ability </w:t>
                      </w: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and limit the use of jargon and colloquialisms that may interfere with a give</w:t>
                      </w:r>
                      <w:r w:rsidR="00E10F02"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</w:t>
                      </w: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audience’s understanding, especially in interdisciplinary contexts (</w:t>
                      </w:r>
                      <w:proofErr w:type="spellStart"/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Cushner</w:t>
                      </w:r>
                      <w:proofErr w:type="spellEnd"/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&amp; Mahon, 2009).</w:t>
                      </w:r>
                    </w:p>
                    <w:p w:rsidR="00E41332" w:rsidRPr="002476B4" w:rsidRDefault="00E4133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:rsidR="009C5444" w:rsidRDefault="00C0710E" w:rsidP="00311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752475</wp:posOffset>
                </wp:positionH>
                <wp:positionV relativeFrom="paragraph">
                  <wp:posOffset>6551930</wp:posOffset>
                </wp:positionV>
                <wp:extent cx="5222240" cy="4095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0E" w:rsidRPr="00C0710E" w:rsidRDefault="00C0710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071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Source adapted from: tru.arcabc.ca </w:t>
                            </w:r>
                            <w:hyperlink r:id="rId6" w:history="1">
                              <w:r w:rsidRPr="00C0710E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https://tru.arcabc.ca/islandora/object/tru%3A1149/datastream/PDF/view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25pt;margin-top:515.9pt;width:411.2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">
                <v:textbox>
                  <w:txbxContent>
                    <w:p w:rsidR="00C0710E" w:rsidRPr="00C0710E" w:rsidRDefault="00C0710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071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Source adapted from: tru.arcabc.ca </w:t>
                      </w:r>
                      <w:hyperlink r:id="rId7" w:history="1">
                        <w:r w:rsidRPr="00C0710E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https://tru.arcabc.ca/islandora/object/tru%3A1149/datastream/PDF/view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8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5EA23" wp14:editId="18F41B28">
                <wp:simplePos x="0" y="0"/>
                <wp:positionH relativeFrom="margin">
                  <wp:align>center</wp:align>
                </wp:positionH>
                <wp:positionV relativeFrom="paragraph">
                  <wp:posOffset>5271770</wp:posOffset>
                </wp:positionV>
                <wp:extent cx="6219825" cy="12001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00150"/>
                        </a:xfrm>
                        <a:prstGeom prst="roundRect">
                          <a:avLst/>
                        </a:prstGeom>
                        <a:solidFill>
                          <a:srgbClr val="B8F6FE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2476B4" w:rsidRDefault="00D82EF7" w:rsidP="005E0A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Develop an awareness of one’s own culture and cultural identity</w:t>
                            </w: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, how these are perceived by cultural others, and how they influence cross-cultural interactions—for example, the potential influence of a perceptual lens created by one’s sexual orientation, race/whiteness, privileged socio-economic status, or ability to speak a dominant language (</w:t>
                            </w:r>
                            <w:proofErr w:type="spellStart"/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Harlap</w:t>
                            </w:r>
                            <w:proofErr w:type="spellEnd"/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, 2008, J. Bennett, 2011).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9" o:spid="_x0000_s1030" style="position:absolute;margin-left:0;margin-top:415.1pt;width:489.75pt;height:94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" fillcolor="#b8f6fe" strokecolor="#bdd6ee [1304]" strokeweight="1pt">
                <v:stroke joinstyle="miter"/>
                <v:textbox>
                  <w:txbxContent>
                    <w:p w:rsidR="005E0A3E" w:rsidRPr="002476B4" w:rsidRDefault="00D82EF7" w:rsidP="005E0A3E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Develop an awareness of one’s own culture and cultural identity</w:t>
                      </w: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, how these are perceived by cultural others, and how they influence cross-cultural interactions—for example, the potential influence of a perceptual lens created by one’s sexual orientation, race/whiteness, privileged socio-economic status, or ability to speak a dominant language (</w:t>
                      </w:r>
                      <w:proofErr w:type="spellStart"/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Harlap</w:t>
                      </w:r>
                      <w:proofErr w:type="spellEnd"/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, 2008, J. Bennett, 2011).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38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5EA23" wp14:editId="18F41B28">
                <wp:simplePos x="0" y="0"/>
                <wp:positionH relativeFrom="margin">
                  <wp:align>center</wp:align>
                </wp:positionH>
                <wp:positionV relativeFrom="paragraph">
                  <wp:posOffset>4214495</wp:posOffset>
                </wp:positionV>
                <wp:extent cx="6219825" cy="97155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71550"/>
                        </a:xfrm>
                        <a:prstGeom prst="roundRect">
                          <a:avLst/>
                        </a:prstGeom>
                        <a:solidFill>
                          <a:srgbClr val="FDBDA9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2476B4" w:rsidRDefault="002B132D" w:rsidP="005E0A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Create opportunities for interaction among learners</w:t>
                            </w: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that allow them to learn from each other, share different perspectives, and share the wealth of cultural knowledge they bring to class (</w:t>
                            </w:r>
                            <w:proofErr w:type="spellStart"/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Arkoudis</w:t>
                            </w:r>
                            <w:proofErr w:type="spellEnd"/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et al., 2013).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8" o:spid="_x0000_s1031" style="position:absolute;margin-left:0;margin-top:331.85pt;width:489.75pt;height:76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" fillcolor="#fdbda9" strokecolor="#bdd6ee [1304]" strokeweight="1pt">
                <v:stroke joinstyle="miter"/>
                <v:textbox>
                  <w:txbxContent>
                    <w:p w:rsidR="005E0A3E" w:rsidRPr="002476B4" w:rsidRDefault="002B132D" w:rsidP="005E0A3E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Create opportunities for interaction among learners</w:t>
                      </w: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that allow them to learn from each other, share different perspectives, and share the wealth of cultural knowledge they bring to class (</w:t>
                      </w:r>
                      <w:proofErr w:type="spellStart"/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Arkoudis</w:t>
                      </w:r>
                      <w:proofErr w:type="spellEnd"/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et al., 2013).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38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5EA23" wp14:editId="18F41B28">
                <wp:simplePos x="0" y="0"/>
                <wp:positionH relativeFrom="margin">
                  <wp:align>center</wp:align>
                </wp:positionH>
                <wp:positionV relativeFrom="paragraph">
                  <wp:posOffset>3081020</wp:posOffset>
                </wp:positionV>
                <wp:extent cx="6219825" cy="1038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38225"/>
                        </a:xfrm>
                        <a:prstGeom prst="roundRect">
                          <a:avLst/>
                        </a:prstGeom>
                        <a:solidFill>
                          <a:srgbClr val="E5FDB9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743" w:rsidRPr="002476B4" w:rsidRDefault="00D05CD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Identify risk factors for </w:t>
                            </w:r>
                            <w:proofErr w:type="gramStart"/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particular </w:t>
                            </w:r>
                            <w:r w:rsidR="002476B4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types</w:t>
                            </w:r>
                            <w:proofErr w:type="gramEnd"/>
                            <w:r w:rsidR="002476B4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learners</w:t>
                            </w: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 Examples of risk factors are loss of face, loss of group identity, conflict avoidance, and risk of self-disclosure related to culture, religion, sexual orientation, and socio-economic background (Bennett, 2011; Paige, 1993).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7" o:spid="_x0000_s1032" style="position:absolute;margin-left:0;margin-top:242.6pt;width:489.75pt;height:81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" fillcolor="#e5fdb9" strokecolor="#bdd6ee [1304]" strokeweight="1pt">
                <v:stroke joinstyle="miter"/>
                <v:textbox>
                  <w:txbxContent>
                    <w:p w:rsidR="00604743" w:rsidRPr="002476B4" w:rsidRDefault="00D05CD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Identify risk factors for </w:t>
                      </w:r>
                      <w:proofErr w:type="gramStart"/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particular </w:t>
                      </w:r>
                      <w:r w:rsidR="002476B4"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types</w:t>
                      </w:r>
                      <w:proofErr w:type="gramEnd"/>
                      <w:r w:rsidR="002476B4"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of</w:t>
                      </w: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learners</w:t>
                      </w: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 Examples of risk factors are loss of face, loss of group identity, conflict avoidance, and risk of self-disclosure related to culture, religion, sexual orientation, and socio-economic background (Bennett, 2011; Paige, 1993).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38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EA23" wp14:editId="18F41B28">
                <wp:simplePos x="0" y="0"/>
                <wp:positionH relativeFrom="margin">
                  <wp:align>center</wp:align>
                </wp:positionH>
                <wp:positionV relativeFrom="paragraph">
                  <wp:posOffset>2042795</wp:posOffset>
                </wp:positionV>
                <wp:extent cx="6219825" cy="9334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3450"/>
                        </a:xfrm>
                        <a:prstGeom prst="roundRect">
                          <a:avLst/>
                        </a:prstGeom>
                        <a:solidFill>
                          <a:srgbClr val="FCF1B2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2476B4" w:rsidRDefault="00D05CD3" w:rsidP="005E0A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Design assessments that recognize and validate cultural differences</w:t>
                            </w: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in writing and communication styles, such as the use of inductive or deductive logic and circular rather than linear reasoning in student essays (Eland, 2001; Fox, 1994).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6" o:spid="_x0000_s1033" style="position:absolute;margin-left:0;margin-top:160.85pt;width:489.75pt;height:73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" fillcolor="#fcf1b2" strokecolor="#bdd6ee [1304]" strokeweight="1pt">
                <v:stroke joinstyle="miter"/>
                <v:textbox>
                  <w:txbxContent>
                    <w:p w:rsidR="005E0A3E" w:rsidRPr="002476B4" w:rsidRDefault="00D05CD3" w:rsidP="005E0A3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Design assessments that recognize and validate cultural differences</w:t>
                      </w: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in writing and communication styles, such as the use of inductive or deductive logic and circular rather than linear reasoning in student essays (Eland, 2001; Fox, 1994).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38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5EA23" wp14:editId="18F41B28">
                <wp:simplePos x="0" y="0"/>
                <wp:positionH relativeFrom="margin">
                  <wp:align>center</wp:align>
                </wp:positionH>
                <wp:positionV relativeFrom="paragraph">
                  <wp:posOffset>975995</wp:posOffset>
                </wp:positionV>
                <wp:extent cx="6219825" cy="9715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71550"/>
                        </a:xfrm>
                        <a:prstGeom prst="roundRect">
                          <a:avLst/>
                        </a:prstGeom>
                        <a:solidFill>
                          <a:srgbClr val="A5FDE6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2476B4" w:rsidRDefault="006F1597" w:rsidP="005E0A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Explain unspoken </w:t>
                            </w:r>
                            <w:r w:rsidR="003A5BFA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assumptions of one’s own culture and discipline </w:t>
                            </w:r>
                            <w:r w:rsidR="003A5BFA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to students from different cultural background and mentor them during their transition </w:t>
                            </w:r>
                            <w:proofErr w:type="gramStart"/>
                            <w:r w:rsidR="003A5BFA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to  the</w:t>
                            </w:r>
                            <w:proofErr w:type="gramEnd"/>
                            <w:r w:rsidR="003A5BFA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host institution. E.g. articulate the value of academic integrity and highlight cultural differences in citation and referencing</w:t>
                            </w:r>
                            <w:r w:rsidR="00217819" w:rsidRPr="002476B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(Watkins &amp; Biggs, 1999).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4" o:spid="_x0000_s1034" style="position:absolute;margin-left:0;margin-top:76.85pt;width:489.75pt;height:76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" fillcolor="#a5fde6" strokecolor="#bdd6ee [1304]" strokeweight="1pt">
                <v:stroke joinstyle="miter"/>
                <v:textbox>
                  <w:txbxContent>
                    <w:p w:rsidR="005E0A3E" w:rsidRPr="002476B4" w:rsidRDefault="006F1597" w:rsidP="005E0A3E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Explain unspoken </w:t>
                      </w:r>
                      <w:r w:rsidR="003A5BFA" w:rsidRPr="002476B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assumptions of one’s own culture and discipline </w:t>
                      </w:r>
                      <w:r w:rsidR="003A5BFA"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to students from different cultural background and mentor them during their transition </w:t>
                      </w:r>
                      <w:proofErr w:type="gramStart"/>
                      <w:r w:rsidR="003A5BFA"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to  the</w:t>
                      </w:r>
                      <w:proofErr w:type="gramEnd"/>
                      <w:r w:rsidR="003A5BFA"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host institution. E.g. articulate the value of academic integrity and highlight cultural differences in citation and referencing</w:t>
                      </w:r>
                      <w:r w:rsidR="00217819" w:rsidRPr="002476B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(Watkins &amp; Biggs, 1999).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C5444" w:rsidSect="007C38BF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0D59"/>
    <w:multiLevelType w:val="hybridMultilevel"/>
    <w:tmpl w:val="6F66F9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3"/>
    <w:rsid w:val="0000159D"/>
    <w:rsid w:val="0003139C"/>
    <w:rsid w:val="000B50CF"/>
    <w:rsid w:val="000D2988"/>
    <w:rsid w:val="001D7C1D"/>
    <w:rsid w:val="00217819"/>
    <w:rsid w:val="002476B4"/>
    <w:rsid w:val="002B132D"/>
    <w:rsid w:val="00311F91"/>
    <w:rsid w:val="0031465F"/>
    <w:rsid w:val="003242E1"/>
    <w:rsid w:val="003A5BFA"/>
    <w:rsid w:val="00537FBD"/>
    <w:rsid w:val="005E0A3E"/>
    <w:rsid w:val="00604743"/>
    <w:rsid w:val="006F1597"/>
    <w:rsid w:val="007C38BF"/>
    <w:rsid w:val="0096615D"/>
    <w:rsid w:val="009C5444"/>
    <w:rsid w:val="009C7077"/>
    <w:rsid w:val="009E06E4"/>
    <w:rsid w:val="00AA0636"/>
    <w:rsid w:val="00BD7D8F"/>
    <w:rsid w:val="00C0710E"/>
    <w:rsid w:val="00C6195D"/>
    <w:rsid w:val="00CA1908"/>
    <w:rsid w:val="00D05CD3"/>
    <w:rsid w:val="00D82EF7"/>
    <w:rsid w:val="00DF1CB3"/>
    <w:rsid w:val="00E10F02"/>
    <w:rsid w:val="00E41332"/>
    <w:rsid w:val="00EE341F"/>
    <w:rsid w:val="00F36D4F"/>
    <w:rsid w:val="00F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08980-F6A1-47A4-8AC1-431908E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.arcabc.ca/islandora/object/tru%3A1149/datastream/PDF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.arcabc.ca/islandora/object/tru%3A1149/datastream/PDF/vi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Nallaya</dc:creator>
  <cp:keywords/>
  <dc:description/>
  <cp:lastModifiedBy>Shashi Nallaya</cp:lastModifiedBy>
  <cp:revision>13</cp:revision>
  <dcterms:created xsi:type="dcterms:W3CDTF">2019-09-19T23:38:00Z</dcterms:created>
  <dcterms:modified xsi:type="dcterms:W3CDTF">2019-09-24T00:24:00Z</dcterms:modified>
</cp:coreProperties>
</file>