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9FF6" w14:textId="1EFC30DA" w:rsidR="00CF46CF" w:rsidRDefault="00CF46CF" w:rsidP="00CF46CF">
      <w:pPr>
        <w:ind w:left="-851" w:right="-926"/>
        <w:jc w:val="both"/>
        <w:rPr>
          <w:b/>
        </w:rPr>
      </w:pPr>
      <w:r>
        <w:rPr>
          <w:b/>
        </w:rPr>
        <w:t>CASE STUDY: ASSESSMENT RUBRIC</w:t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</w:r>
      <w:r w:rsidR="00793AAB">
        <w:rPr>
          <w:b/>
        </w:rPr>
        <w:tab/>
        <w:t xml:space="preserve">STUDENT NAME: </w:t>
      </w:r>
      <w:r w:rsidR="00822CFB">
        <w:rPr>
          <w:b/>
        </w:rPr>
        <w:t>C exemplar</w:t>
      </w:r>
    </w:p>
    <w:tbl>
      <w:tblPr>
        <w:tblStyle w:val="TableGrid"/>
        <w:tblW w:w="5601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3715"/>
        <w:gridCol w:w="1700"/>
        <w:gridCol w:w="2269"/>
        <w:gridCol w:w="2409"/>
        <w:gridCol w:w="2694"/>
        <w:gridCol w:w="2838"/>
      </w:tblGrid>
      <w:tr w:rsidR="00CF46CF" w:rsidRPr="002931FB" w14:paraId="0398892E" w14:textId="77777777" w:rsidTr="00E02F1C">
        <w:trPr>
          <w:trHeight w:val="416"/>
        </w:trPr>
        <w:tc>
          <w:tcPr>
            <w:tcW w:w="1189" w:type="pct"/>
            <w:vMerge w:val="restart"/>
          </w:tcPr>
          <w:p w14:paraId="042F9184" w14:textId="77777777" w:rsidR="00CF46CF" w:rsidRPr="002931FB" w:rsidRDefault="00CF46CF" w:rsidP="00AF37CB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44" w:type="pct"/>
            <w:vMerge w:val="restart"/>
            <w:vAlign w:val="center"/>
          </w:tcPr>
          <w:p w14:paraId="2FEE23C9" w14:textId="77777777" w:rsidR="00CF46CF" w:rsidRPr="002931FB" w:rsidRDefault="00CF46CF" w:rsidP="00CF46CF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FAIL</w:t>
            </w:r>
          </w:p>
        </w:tc>
        <w:tc>
          <w:tcPr>
            <w:tcW w:w="726" w:type="pct"/>
            <w:vAlign w:val="center"/>
          </w:tcPr>
          <w:p w14:paraId="5DDF9DA6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MEETS STANDARDS</w:t>
            </w:r>
          </w:p>
        </w:tc>
        <w:tc>
          <w:tcPr>
            <w:tcW w:w="2541" w:type="pct"/>
            <w:gridSpan w:val="3"/>
            <w:vAlign w:val="center"/>
          </w:tcPr>
          <w:p w14:paraId="66AFDC05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EXCEEDS STANDARDS</w:t>
            </w:r>
          </w:p>
        </w:tc>
      </w:tr>
      <w:tr w:rsidR="00CF46CF" w:rsidRPr="002931FB" w14:paraId="59AE925F" w14:textId="77777777" w:rsidTr="00E02F1C">
        <w:trPr>
          <w:trHeight w:val="339"/>
        </w:trPr>
        <w:tc>
          <w:tcPr>
            <w:tcW w:w="1189" w:type="pct"/>
            <w:vMerge/>
            <w:tcBorders>
              <w:bottom w:val="single" w:sz="4" w:space="0" w:color="auto"/>
            </w:tcBorders>
          </w:tcPr>
          <w:p w14:paraId="0DD369A1" w14:textId="77777777" w:rsidR="00CF46CF" w:rsidRPr="002931FB" w:rsidRDefault="00CF46CF" w:rsidP="00AF37CB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544" w:type="pct"/>
            <w:vMerge/>
            <w:vAlign w:val="center"/>
          </w:tcPr>
          <w:p w14:paraId="0287F6A5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26" w:type="pct"/>
            <w:vAlign w:val="center"/>
          </w:tcPr>
          <w:p w14:paraId="350DD16A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Pass</w:t>
            </w:r>
          </w:p>
        </w:tc>
        <w:tc>
          <w:tcPr>
            <w:tcW w:w="771" w:type="pct"/>
            <w:vAlign w:val="center"/>
          </w:tcPr>
          <w:p w14:paraId="6E278F32" w14:textId="77777777" w:rsidR="00CF46CF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7EAD7123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Credit</w:t>
            </w:r>
          </w:p>
          <w:p w14:paraId="5EDA5535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862" w:type="pct"/>
            <w:vAlign w:val="center"/>
          </w:tcPr>
          <w:p w14:paraId="7903B814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Distinction</w:t>
            </w:r>
          </w:p>
        </w:tc>
        <w:tc>
          <w:tcPr>
            <w:tcW w:w="908" w:type="pct"/>
            <w:vAlign w:val="center"/>
          </w:tcPr>
          <w:p w14:paraId="1EB9D1B3" w14:textId="77777777" w:rsidR="00CF46CF" w:rsidRPr="002931FB" w:rsidRDefault="00CF46CF" w:rsidP="00AF37C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High Distinction</w:t>
            </w:r>
          </w:p>
        </w:tc>
      </w:tr>
      <w:tr w:rsidR="00CF46CF" w:rsidRPr="00CE4389" w14:paraId="14C4EFF9" w14:textId="77777777" w:rsidTr="00E02F1C">
        <w:tc>
          <w:tcPr>
            <w:tcW w:w="1189" w:type="pct"/>
            <w:shd w:val="clear" w:color="auto" w:fill="FBD4B4" w:themeFill="accent6" w:themeFillTint="66"/>
          </w:tcPr>
          <w:p w14:paraId="19323841" w14:textId="77777777" w:rsidR="00CF46CF" w:rsidRPr="00AA09D4" w:rsidRDefault="00CF46CF" w:rsidP="00AF37CB">
            <w:pPr>
              <w:pStyle w:val="Default"/>
              <w:rPr>
                <w:sz w:val="18"/>
                <w:szCs w:val="18"/>
              </w:rPr>
            </w:pPr>
            <w:r w:rsidRPr="00AA09D4">
              <w:rPr>
                <w:rFonts w:cs="Tahoma"/>
                <w:sz w:val="18"/>
                <w:szCs w:val="18"/>
              </w:rPr>
              <w:t xml:space="preserve">Sonographer </w:t>
            </w:r>
            <w:r w:rsidRPr="00AA09D4">
              <w:rPr>
                <w:b/>
                <w:bCs/>
                <w:sz w:val="18"/>
                <w:szCs w:val="18"/>
              </w:rPr>
              <w:t>provides r</w:t>
            </w:r>
            <w:r w:rsidRPr="00AA09D4">
              <w:rPr>
                <w:sz w:val="18"/>
                <w:szCs w:val="18"/>
              </w:rPr>
              <w:t xml:space="preserve">elevant </w:t>
            </w:r>
            <w:r w:rsidR="00A0733A">
              <w:rPr>
                <w:sz w:val="18"/>
                <w:szCs w:val="18"/>
              </w:rPr>
              <w:t xml:space="preserve">case description which includes </w:t>
            </w:r>
            <w:r w:rsidRPr="00AA09D4">
              <w:rPr>
                <w:sz w:val="18"/>
                <w:szCs w:val="18"/>
              </w:rPr>
              <w:t>patient information, results of other diagnostic tests, sonographic equipment and technique used, a description of the sonographic findings and how they compare to normal sonographic findings, and patient outcome.</w:t>
            </w:r>
          </w:p>
          <w:p w14:paraId="36A4E51D" w14:textId="77777777" w:rsidR="00CF46CF" w:rsidRPr="002931FB" w:rsidRDefault="00CF46CF" w:rsidP="00A0733A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  <w:r w:rsidRPr="002931FB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A0733A">
              <w:rPr>
                <w:rFonts w:cs="Tahoma"/>
                <w:b/>
                <w:i/>
                <w:sz w:val="18"/>
                <w:szCs w:val="18"/>
              </w:rPr>
              <w:t>25</w:t>
            </w:r>
            <w:r w:rsidRPr="002931FB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544" w:type="pct"/>
          </w:tcPr>
          <w:p w14:paraId="6EF658A8" w14:textId="71B00DD6" w:rsidR="00CF46CF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 w:rsidRPr="00DB5A69">
              <w:rPr>
                <w:sz w:val="18"/>
                <w:szCs w:val="18"/>
              </w:rPr>
              <w:t xml:space="preserve">Written content </w:t>
            </w:r>
            <w:r w:rsidR="00CF46CF">
              <w:rPr>
                <w:sz w:val="18"/>
                <w:szCs w:val="18"/>
              </w:rPr>
              <w:t xml:space="preserve">does not </w:t>
            </w:r>
            <w:r w:rsidR="00CF46CF" w:rsidRPr="00DB5A69">
              <w:rPr>
                <w:sz w:val="18"/>
                <w:szCs w:val="18"/>
              </w:rPr>
              <w:t>demonstrate</w:t>
            </w:r>
            <w:r w:rsidR="00CF46CF">
              <w:rPr>
                <w:sz w:val="18"/>
                <w:szCs w:val="18"/>
              </w:rPr>
              <w:t xml:space="preserve"> </w:t>
            </w:r>
            <w:r w:rsidR="00CF46CF" w:rsidRPr="00DB5A69">
              <w:rPr>
                <w:sz w:val="18"/>
                <w:szCs w:val="18"/>
              </w:rPr>
              <w:t xml:space="preserve">knowledge of concepts </w:t>
            </w:r>
          </w:p>
          <w:p w14:paraId="7BB41E0A" w14:textId="77777777" w:rsidR="00CF46CF" w:rsidRPr="002931FB" w:rsidRDefault="00CF46CF" w:rsidP="00AF37CB">
            <w:pPr>
              <w:pStyle w:val="Default"/>
              <w:rPr>
                <w:rFonts w:cs="Tahoma"/>
                <w:sz w:val="18"/>
                <w:szCs w:val="18"/>
              </w:rPr>
            </w:pPr>
          </w:p>
        </w:tc>
        <w:tc>
          <w:tcPr>
            <w:tcW w:w="726" w:type="pct"/>
          </w:tcPr>
          <w:p w14:paraId="47F14CF5" w14:textId="77777777" w:rsidR="00CF46CF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 w:rsidRPr="00DB5A69">
              <w:rPr>
                <w:sz w:val="18"/>
                <w:szCs w:val="18"/>
              </w:rPr>
              <w:t xml:space="preserve">Written content demonstrates </w:t>
            </w:r>
            <w:r>
              <w:rPr>
                <w:sz w:val="18"/>
                <w:szCs w:val="18"/>
              </w:rPr>
              <w:t>some</w:t>
            </w:r>
            <w:r w:rsidR="00CF46CF" w:rsidRPr="00DB5A69">
              <w:rPr>
                <w:sz w:val="18"/>
                <w:szCs w:val="18"/>
              </w:rPr>
              <w:t xml:space="preserve"> knowledge and depth of concepts with explanations and elaborations</w:t>
            </w:r>
          </w:p>
          <w:p w14:paraId="0F223F6E" w14:textId="77777777" w:rsidR="00CF46CF" w:rsidRPr="002931FB" w:rsidRDefault="00793AAB" w:rsidP="00AF37CB">
            <w:pPr>
              <w:pStyle w:val="Default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 xml:space="preserve">Some statements provided are distracting and inaccurate </w:t>
            </w:r>
          </w:p>
        </w:tc>
        <w:tc>
          <w:tcPr>
            <w:tcW w:w="771" w:type="pct"/>
          </w:tcPr>
          <w:p w14:paraId="2FE80C12" w14:textId="77777777" w:rsidR="00CF46CF" w:rsidRPr="00836674" w:rsidRDefault="00793AAB" w:rsidP="00AF37CB">
            <w:pPr>
              <w:pStyle w:val="Default"/>
              <w:rPr>
                <w:sz w:val="18"/>
                <w:szCs w:val="18"/>
                <w:highlight w:val="yellow"/>
              </w:rPr>
            </w:pPr>
            <w:r w:rsidRPr="00F77F79">
              <w:rPr>
                <w:sz w:val="18"/>
                <w:szCs w:val="18"/>
              </w:rPr>
              <w:t>-</w:t>
            </w:r>
            <w:r w:rsidR="00CF46CF" w:rsidRPr="00836674">
              <w:rPr>
                <w:sz w:val="18"/>
                <w:szCs w:val="18"/>
                <w:highlight w:val="yellow"/>
              </w:rPr>
              <w:t xml:space="preserve">Written content demonstrates full knowledge and depth of concepts </w:t>
            </w:r>
          </w:p>
          <w:p w14:paraId="7423CF59" w14:textId="3F80487E" w:rsidR="00CF46CF" w:rsidRPr="00F77F79" w:rsidRDefault="00793AAB" w:rsidP="00AF37CB">
            <w:pPr>
              <w:pStyle w:val="Default"/>
              <w:rPr>
                <w:rFonts w:cs="Tahoma"/>
                <w:sz w:val="18"/>
                <w:szCs w:val="18"/>
              </w:rPr>
            </w:pPr>
            <w:r w:rsidRPr="00836674">
              <w:rPr>
                <w:sz w:val="18"/>
                <w:szCs w:val="18"/>
                <w:highlight w:val="yellow"/>
              </w:rPr>
              <w:t>-</w:t>
            </w:r>
            <w:r w:rsidR="00CF46CF" w:rsidRPr="00836674">
              <w:rPr>
                <w:sz w:val="18"/>
                <w:szCs w:val="18"/>
                <w:highlight w:val="yellow"/>
              </w:rPr>
              <w:t>All statements are accurate, few distracting details</w:t>
            </w:r>
            <w:r w:rsidR="00CF46CF" w:rsidRPr="00F77F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2" w:type="pct"/>
          </w:tcPr>
          <w:p w14:paraId="1CD68E1C" w14:textId="77777777" w:rsidR="00CF46CF" w:rsidRPr="00836674" w:rsidRDefault="00793AAB" w:rsidP="00AF37CB">
            <w:pPr>
              <w:pStyle w:val="Default"/>
              <w:rPr>
                <w:sz w:val="18"/>
                <w:szCs w:val="18"/>
              </w:rPr>
            </w:pPr>
            <w:r w:rsidRPr="00836674">
              <w:rPr>
                <w:sz w:val="18"/>
                <w:szCs w:val="18"/>
              </w:rPr>
              <w:t>-</w:t>
            </w:r>
            <w:r w:rsidR="00CF46CF" w:rsidRPr="00836674">
              <w:rPr>
                <w:sz w:val="18"/>
                <w:szCs w:val="18"/>
              </w:rPr>
              <w:t xml:space="preserve">Written content demonstrates full knowledge and depth of concepts </w:t>
            </w:r>
          </w:p>
          <w:p w14:paraId="6E16768D" w14:textId="77777777" w:rsidR="00CF46CF" w:rsidRPr="00836674" w:rsidRDefault="00793AAB" w:rsidP="00AF37CB">
            <w:pPr>
              <w:pStyle w:val="Default"/>
              <w:rPr>
                <w:sz w:val="18"/>
                <w:szCs w:val="18"/>
              </w:rPr>
            </w:pPr>
            <w:r w:rsidRPr="00836674">
              <w:rPr>
                <w:sz w:val="18"/>
                <w:szCs w:val="18"/>
              </w:rPr>
              <w:t>-</w:t>
            </w:r>
            <w:r w:rsidR="00CF46CF" w:rsidRPr="00836674">
              <w:rPr>
                <w:sz w:val="18"/>
                <w:szCs w:val="18"/>
              </w:rPr>
              <w:t>All statements are relevant and accurate</w:t>
            </w:r>
          </w:p>
          <w:p w14:paraId="6ECEE9C5" w14:textId="77777777" w:rsidR="00CF46CF" w:rsidRPr="00836674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908" w:type="pct"/>
          </w:tcPr>
          <w:p w14:paraId="12EB0FCC" w14:textId="77777777" w:rsidR="00CF46CF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 w:rsidRPr="00DB5A69">
              <w:rPr>
                <w:sz w:val="18"/>
                <w:szCs w:val="18"/>
              </w:rPr>
              <w:t xml:space="preserve">Written content demonstrates </w:t>
            </w:r>
            <w:r w:rsidR="00CF46CF">
              <w:rPr>
                <w:sz w:val="18"/>
                <w:szCs w:val="18"/>
              </w:rPr>
              <w:t>extensive</w:t>
            </w:r>
            <w:r w:rsidR="00CF46CF" w:rsidRPr="00DB5A69">
              <w:rPr>
                <w:sz w:val="18"/>
                <w:szCs w:val="18"/>
              </w:rPr>
              <w:t xml:space="preserve"> knowledge and depth of concepts with explanations and elaborations</w:t>
            </w:r>
          </w:p>
          <w:p w14:paraId="5EC9C7DE" w14:textId="77777777" w:rsidR="00CF46CF" w:rsidRPr="00DB5A69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All statements are relevant and accurate</w:t>
            </w:r>
          </w:p>
          <w:p w14:paraId="7E0589C7" w14:textId="77777777" w:rsidR="00CF46CF" w:rsidRPr="00DB5A69" w:rsidRDefault="00CF46CF" w:rsidP="00AF37CB">
            <w:pPr>
              <w:pStyle w:val="Default"/>
              <w:rPr>
                <w:sz w:val="18"/>
                <w:szCs w:val="18"/>
              </w:rPr>
            </w:pPr>
          </w:p>
          <w:p w14:paraId="35839A58" w14:textId="77777777" w:rsidR="00CF46CF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</w:tr>
      <w:tr w:rsidR="00CF46CF" w:rsidRPr="00CE4389" w14:paraId="05C9E7A4" w14:textId="77777777" w:rsidTr="00E02F1C">
        <w:trPr>
          <w:trHeight w:val="1579"/>
        </w:trPr>
        <w:tc>
          <w:tcPr>
            <w:tcW w:w="1189" w:type="pct"/>
            <w:shd w:val="clear" w:color="auto" w:fill="FBD4B4" w:themeFill="accent6" w:themeFillTint="66"/>
          </w:tcPr>
          <w:p w14:paraId="6236DA4E" w14:textId="77777777" w:rsidR="00CF46CF" w:rsidRDefault="00CF46CF" w:rsidP="00AF37CB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Sonographer uses research to summarise </w:t>
            </w:r>
            <w:r w:rsidRPr="00AA09D4">
              <w:rPr>
                <w:sz w:val="18"/>
                <w:szCs w:val="18"/>
              </w:rPr>
              <w:t xml:space="preserve">aetiology, pathophysiology, </w:t>
            </w:r>
            <w:r>
              <w:rPr>
                <w:sz w:val="18"/>
                <w:szCs w:val="18"/>
              </w:rPr>
              <w:t>normal and abnormal sonographic appearances, and treatment relevant to the case.</w:t>
            </w:r>
          </w:p>
          <w:p w14:paraId="6D61BAAD" w14:textId="77777777" w:rsidR="00CF46CF" w:rsidRPr="002931FB" w:rsidRDefault="00CF46CF" w:rsidP="00A0733A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 w:rsidRPr="00AA09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</w:t>
            </w:r>
            <w:r w:rsidRPr="00AA09D4">
              <w:rPr>
                <w:sz w:val="18"/>
                <w:szCs w:val="18"/>
              </w:rPr>
              <w:t>ustification</w:t>
            </w:r>
            <w:r>
              <w:rPr>
                <w:sz w:val="18"/>
                <w:szCs w:val="18"/>
              </w:rPr>
              <w:t xml:space="preserve"> and supported arguments</w:t>
            </w:r>
            <w:r w:rsidRPr="00AA09D4">
              <w:rPr>
                <w:sz w:val="18"/>
                <w:szCs w:val="18"/>
              </w:rPr>
              <w:t xml:space="preserve"> for the diagnosis and alternate diagnosis is provided. </w:t>
            </w:r>
            <w:r w:rsidRPr="00AA09D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i/>
                <w:sz w:val="18"/>
                <w:szCs w:val="18"/>
              </w:rPr>
              <w:t>25</w:t>
            </w:r>
            <w:r w:rsidRPr="00AA09D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544" w:type="pct"/>
          </w:tcPr>
          <w:p w14:paraId="59435E9B" w14:textId="77777777" w:rsidR="00CF46CF" w:rsidRPr="002931FB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CF46CF">
              <w:rPr>
                <w:rFonts w:cs="Tahoma"/>
                <w:sz w:val="18"/>
                <w:szCs w:val="18"/>
              </w:rPr>
              <w:t>Poor evidence of research to support conclusions made in the paper</w:t>
            </w:r>
          </w:p>
        </w:tc>
        <w:tc>
          <w:tcPr>
            <w:tcW w:w="726" w:type="pct"/>
          </w:tcPr>
          <w:p w14:paraId="08913F8C" w14:textId="77777777" w:rsidR="00CF46CF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 w:rsidRPr="00DB5A69">
              <w:rPr>
                <w:sz w:val="18"/>
                <w:szCs w:val="18"/>
              </w:rPr>
              <w:t xml:space="preserve">Evidence of research </w:t>
            </w:r>
            <w:r w:rsidR="00CF46CF">
              <w:rPr>
                <w:sz w:val="18"/>
                <w:szCs w:val="18"/>
              </w:rPr>
              <w:t xml:space="preserve">that provides justifications for the conclusions, but arguments are not fully convincing. </w:t>
            </w:r>
          </w:p>
          <w:p w14:paraId="473F8C2A" w14:textId="77777777" w:rsidR="00CF46CF" w:rsidRPr="002931FB" w:rsidRDefault="00793AAB" w:rsidP="00E02F1C">
            <w:pPr>
              <w:pStyle w:val="Default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Few appropriate citations and references to support arguments</w:t>
            </w:r>
          </w:p>
        </w:tc>
        <w:tc>
          <w:tcPr>
            <w:tcW w:w="771" w:type="pct"/>
          </w:tcPr>
          <w:p w14:paraId="6BF10AD6" w14:textId="77777777" w:rsidR="00CF46CF" w:rsidRPr="00B34A74" w:rsidRDefault="00793AAB" w:rsidP="00AF37CB">
            <w:pPr>
              <w:pStyle w:val="Default"/>
              <w:rPr>
                <w:sz w:val="18"/>
                <w:szCs w:val="18"/>
                <w:highlight w:val="yellow"/>
              </w:rPr>
            </w:pPr>
            <w:r w:rsidRPr="00B34A74">
              <w:rPr>
                <w:sz w:val="18"/>
                <w:szCs w:val="18"/>
                <w:highlight w:val="yellow"/>
              </w:rPr>
              <w:t>-</w:t>
            </w:r>
            <w:r w:rsidR="00CF46CF" w:rsidRPr="00B34A74">
              <w:rPr>
                <w:sz w:val="18"/>
                <w:szCs w:val="18"/>
                <w:highlight w:val="yellow"/>
              </w:rPr>
              <w:t xml:space="preserve">Evidence of research that provides valid justifications and convincing arguments for the conclusions. </w:t>
            </w:r>
          </w:p>
          <w:p w14:paraId="19399CF2" w14:textId="77777777" w:rsidR="00CF46CF" w:rsidRPr="00B34A74" w:rsidRDefault="00793AAB" w:rsidP="00CF46CF">
            <w:pPr>
              <w:pStyle w:val="Default"/>
              <w:rPr>
                <w:rFonts w:cs="Tahoma"/>
                <w:sz w:val="18"/>
                <w:szCs w:val="18"/>
                <w:highlight w:val="yellow"/>
              </w:rPr>
            </w:pPr>
            <w:r w:rsidRPr="00B34A74">
              <w:rPr>
                <w:sz w:val="18"/>
                <w:szCs w:val="18"/>
                <w:highlight w:val="yellow"/>
              </w:rPr>
              <w:t>-</w:t>
            </w:r>
            <w:r w:rsidR="00CF46CF" w:rsidRPr="00B34A74">
              <w:rPr>
                <w:sz w:val="18"/>
                <w:szCs w:val="18"/>
                <w:highlight w:val="yellow"/>
              </w:rPr>
              <w:t>Appropriate citations and references to support arguments</w:t>
            </w:r>
          </w:p>
        </w:tc>
        <w:tc>
          <w:tcPr>
            <w:tcW w:w="862" w:type="pct"/>
          </w:tcPr>
          <w:p w14:paraId="5246A44A" w14:textId="77777777" w:rsidR="00CF46CF" w:rsidRPr="00DB5A69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 w:rsidRPr="00DB5A69">
              <w:rPr>
                <w:sz w:val="18"/>
                <w:szCs w:val="18"/>
              </w:rPr>
              <w:t xml:space="preserve">Evidence of research with appropriate citations </w:t>
            </w:r>
            <w:r w:rsidR="00CF46CF">
              <w:rPr>
                <w:sz w:val="18"/>
                <w:szCs w:val="18"/>
              </w:rPr>
              <w:t xml:space="preserve">and references that improve the </w:t>
            </w:r>
            <w:r w:rsidR="00CF46CF" w:rsidRPr="00DB5A69">
              <w:rPr>
                <w:sz w:val="18"/>
                <w:szCs w:val="18"/>
              </w:rPr>
              <w:t>understanding of the case</w:t>
            </w:r>
            <w:r w:rsidR="00CF46CF">
              <w:rPr>
                <w:sz w:val="18"/>
                <w:szCs w:val="18"/>
              </w:rPr>
              <w:t xml:space="preserve"> and valid justification and arguments for the conclusions are provided</w:t>
            </w:r>
          </w:p>
          <w:p w14:paraId="7B198372" w14:textId="77777777" w:rsidR="00CF46CF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908" w:type="pct"/>
          </w:tcPr>
          <w:p w14:paraId="1CD4A114" w14:textId="77777777" w:rsidR="00CF46CF" w:rsidRPr="00DB5A69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 w:rsidRPr="00DB5A69">
              <w:rPr>
                <w:sz w:val="18"/>
                <w:szCs w:val="18"/>
              </w:rPr>
              <w:t xml:space="preserve">Evidence of research with appropriate citations </w:t>
            </w:r>
            <w:r w:rsidR="00CF46CF">
              <w:rPr>
                <w:sz w:val="18"/>
                <w:szCs w:val="18"/>
              </w:rPr>
              <w:t xml:space="preserve">and references that improve the </w:t>
            </w:r>
            <w:r w:rsidR="00CF46CF" w:rsidRPr="00DB5A69">
              <w:rPr>
                <w:sz w:val="18"/>
                <w:szCs w:val="18"/>
              </w:rPr>
              <w:t>understanding of the case</w:t>
            </w:r>
          </w:p>
          <w:p w14:paraId="24344F10" w14:textId="77777777" w:rsidR="00CF46CF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CF46CF">
              <w:rPr>
                <w:rFonts w:cs="Tahoma"/>
                <w:sz w:val="18"/>
                <w:szCs w:val="18"/>
              </w:rPr>
              <w:t>Mature synthesis of information supports diagnosis or alternate diagnosis</w:t>
            </w:r>
          </w:p>
        </w:tc>
      </w:tr>
      <w:tr w:rsidR="00A0733A" w:rsidRPr="002931FB" w14:paraId="662E1921" w14:textId="77777777" w:rsidTr="00E02F1C">
        <w:tc>
          <w:tcPr>
            <w:tcW w:w="1189" w:type="pct"/>
            <w:shd w:val="clear" w:color="auto" w:fill="FBD4B4" w:themeFill="accent6" w:themeFillTint="66"/>
          </w:tcPr>
          <w:p w14:paraId="2DC8355A" w14:textId="77777777" w:rsidR="00A0733A" w:rsidRDefault="00A0733A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Sonographer </w:t>
            </w:r>
            <w:r w:rsidR="00E02F1C">
              <w:rPr>
                <w:rFonts w:cs="Tahoma"/>
                <w:sz w:val="18"/>
                <w:szCs w:val="18"/>
              </w:rPr>
              <w:t xml:space="preserve">links </w:t>
            </w:r>
            <w:r>
              <w:rPr>
                <w:rFonts w:cs="Tahoma"/>
                <w:sz w:val="18"/>
                <w:szCs w:val="18"/>
              </w:rPr>
              <w:t xml:space="preserve">the significance of the case report findings to clinical practice or sonographer </w:t>
            </w:r>
            <w:proofErr w:type="gramStart"/>
            <w:r>
              <w:rPr>
                <w:rFonts w:cs="Tahoma"/>
                <w:sz w:val="18"/>
                <w:szCs w:val="18"/>
              </w:rPr>
              <w:t>education</w:t>
            </w:r>
            <w:proofErr w:type="gramEnd"/>
          </w:p>
          <w:p w14:paraId="74B38F11" w14:textId="77777777" w:rsidR="00E02F1C" w:rsidRPr="00E02F1C" w:rsidRDefault="00E02F1C" w:rsidP="00AF37CB">
            <w:pPr>
              <w:pStyle w:val="ListParagraph"/>
              <w:ind w:left="0"/>
              <w:rPr>
                <w:rFonts w:cs="Tahoma"/>
                <w:b/>
                <w:sz w:val="18"/>
                <w:szCs w:val="18"/>
              </w:rPr>
            </w:pPr>
            <w:r w:rsidRPr="00E02F1C">
              <w:rPr>
                <w:rFonts w:cs="Tahoma"/>
                <w:b/>
                <w:sz w:val="18"/>
                <w:szCs w:val="18"/>
              </w:rPr>
              <w:t>Weighting 10%</w:t>
            </w:r>
          </w:p>
        </w:tc>
        <w:tc>
          <w:tcPr>
            <w:tcW w:w="544" w:type="pct"/>
          </w:tcPr>
          <w:p w14:paraId="2784630F" w14:textId="77777777" w:rsidR="00A0733A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E02F1C">
              <w:rPr>
                <w:rFonts w:cs="Tahoma"/>
                <w:sz w:val="18"/>
                <w:szCs w:val="18"/>
              </w:rPr>
              <w:t>Significance of case report not described</w:t>
            </w:r>
          </w:p>
        </w:tc>
        <w:tc>
          <w:tcPr>
            <w:tcW w:w="726" w:type="pct"/>
          </w:tcPr>
          <w:p w14:paraId="1CD8EEDF" w14:textId="77777777" w:rsidR="00E02F1C" w:rsidRDefault="00793AAB" w:rsidP="00E02F1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E02F1C">
              <w:rPr>
                <w:rFonts w:cs="Tahoma"/>
                <w:sz w:val="18"/>
                <w:szCs w:val="18"/>
              </w:rPr>
              <w:t xml:space="preserve">Significance of case report linked to sonography clinical practice and/or education. </w:t>
            </w:r>
          </w:p>
          <w:p w14:paraId="4950B23C" w14:textId="0A0FCB9F" w:rsidR="00A0733A" w:rsidRDefault="00793AAB" w:rsidP="00E02F1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E02F1C">
              <w:rPr>
                <w:rFonts w:cs="Tahoma"/>
                <w:sz w:val="18"/>
                <w:szCs w:val="18"/>
              </w:rPr>
              <w:t>Significance somewhat overstated or understated</w:t>
            </w:r>
          </w:p>
        </w:tc>
        <w:tc>
          <w:tcPr>
            <w:tcW w:w="771" w:type="pct"/>
          </w:tcPr>
          <w:p w14:paraId="37D27DBE" w14:textId="77777777" w:rsidR="00E02F1C" w:rsidRPr="00836674" w:rsidRDefault="00793AAB" w:rsidP="00E02F1C">
            <w:pPr>
              <w:rPr>
                <w:rFonts w:cs="Tahoma"/>
                <w:sz w:val="18"/>
                <w:szCs w:val="18"/>
                <w:highlight w:val="yellow"/>
              </w:rPr>
            </w:pPr>
            <w:r w:rsidRPr="00836674">
              <w:rPr>
                <w:rFonts w:cs="Tahoma"/>
                <w:sz w:val="18"/>
                <w:szCs w:val="18"/>
                <w:highlight w:val="yellow"/>
              </w:rPr>
              <w:t>-</w:t>
            </w:r>
            <w:r w:rsidR="00E02F1C" w:rsidRPr="00836674">
              <w:rPr>
                <w:rFonts w:cs="Tahoma"/>
                <w:sz w:val="18"/>
                <w:szCs w:val="18"/>
                <w:highlight w:val="yellow"/>
              </w:rPr>
              <w:t xml:space="preserve">Significance of case report linked to sonography clinical practice and/or education. </w:t>
            </w:r>
          </w:p>
          <w:p w14:paraId="212EA29D" w14:textId="77777777" w:rsidR="00A0733A" w:rsidRPr="00836674" w:rsidRDefault="00793AAB" w:rsidP="00E02F1C">
            <w:pPr>
              <w:rPr>
                <w:rFonts w:cs="Tahoma"/>
                <w:sz w:val="18"/>
                <w:szCs w:val="18"/>
                <w:highlight w:val="yellow"/>
              </w:rPr>
            </w:pPr>
            <w:r w:rsidRPr="00836674">
              <w:rPr>
                <w:rFonts w:cs="Tahoma"/>
                <w:sz w:val="18"/>
                <w:szCs w:val="18"/>
                <w:highlight w:val="yellow"/>
              </w:rPr>
              <w:t>-</w:t>
            </w:r>
            <w:r w:rsidR="00E02F1C" w:rsidRPr="00836674">
              <w:rPr>
                <w:rFonts w:cs="Tahoma"/>
                <w:sz w:val="18"/>
                <w:szCs w:val="18"/>
                <w:highlight w:val="yellow"/>
              </w:rPr>
              <w:t>Significance not overstated or understated</w:t>
            </w:r>
          </w:p>
        </w:tc>
        <w:tc>
          <w:tcPr>
            <w:tcW w:w="862" w:type="pct"/>
          </w:tcPr>
          <w:p w14:paraId="15212A8B" w14:textId="77777777" w:rsidR="00E02F1C" w:rsidRPr="00836674" w:rsidRDefault="00793AAB" w:rsidP="00E02F1C">
            <w:pPr>
              <w:rPr>
                <w:rFonts w:cs="Tahoma"/>
                <w:sz w:val="18"/>
                <w:szCs w:val="18"/>
              </w:rPr>
            </w:pPr>
            <w:r w:rsidRPr="00836674">
              <w:rPr>
                <w:rFonts w:cs="Tahoma"/>
                <w:sz w:val="18"/>
                <w:szCs w:val="18"/>
              </w:rPr>
              <w:t>-</w:t>
            </w:r>
            <w:r w:rsidR="00E02F1C" w:rsidRPr="00836674">
              <w:rPr>
                <w:rFonts w:cs="Tahoma"/>
                <w:sz w:val="18"/>
                <w:szCs w:val="18"/>
              </w:rPr>
              <w:t xml:space="preserve">Significance of case report clearly linked to sonography clinical practice and/or education. </w:t>
            </w:r>
          </w:p>
          <w:p w14:paraId="3469D13E" w14:textId="77777777" w:rsidR="00A0733A" w:rsidRPr="00836674" w:rsidRDefault="00793AAB" w:rsidP="00E02F1C">
            <w:pPr>
              <w:rPr>
                <w:rFonts w:cs="Tahoma"/>
                <w:sz w:val="18"/>
                <w:szCs w:val="18"/>
              </w:rPr>
            </w:pPr>
            <w:r w:rsidRPr="00836674">
              <w:rPr>
                <w:rFonts w:cs="Tahoma"/>
                <w:sz w:val="18"/>
                <w:szCs w:val="18"/>
              </w:rPr>
              <w:t>-</w:t>
            </w:r>
            <w:r w:rsidR="00E02F1C" w:rsidRPr="00836674">
              <w:rPr>
                <w:rFonts w:cs="Tahoma"/>
                <w:sz w:val="18"/>
                <w:szCs w:val="18"/>
              </w:rPr>
              <w:t>Significance not overstated or understated</w:t>
            </w:r>
          </w:p>
        </w:tc>
        <w:tc>
          <w:tcPr>
            <w:tcW w:w="908" w:type="pct"/>
          </w:tcPr>
          <w:p w14:paraId="5A8CFA95" w14:textId="77777777" w:rsidR="00E02F1C" w:rsidRDefault="00793AAB" w:rsidP="00E02F1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E02F1C">
              <w:rPr>
                <w:rFonts w:cs="Tahoma"/>
                <w:sz w:val="18"/>
                <w:szCs w:val="18"/>
              </w:rPr>
              <w:t xml:space="preserve">Significance of case report clearly and succinctly linked to sonography clinical practice and/or education. </w:t>
            </w:r>
          </w:p>
          <w:p w14:paraId="6D7615C5" w14:textId="77777777" w:rsidR="00E02F1C" w:rsidRDefault="00793AAB" w:rsidP="00E02F1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E02F1C">
              <w:rPr>
                <w:rFonts w:cs="Tahoma"/>
                <w:sz w:val="18"/>
                <w:szCs w:val="18"/>
              </w:rPr>
              <w:t>Significance not overstated or understated</w:t>
            </w:r>
          </w:p>
        </w:tc>
      </w:tr>
      <w:tr w:rsidR="00CF46CF" w:rsidRPr="002931FB" w14:paraId="64CCDA49" w14:textId="77777777" w:rsidTr="00E02F1C">
        <w:tc>
          <w:tcPr>
            <w:tcW w:w="1189" w:type="pct"/>
            <w:shd w:val="clear" w:color="auto" w:fill="FBD4B4" w:themeFill="accent6" w:themeFillTint="66"/>
          </w:tcPr>
          <w:p w14:paraId="1186FCDB" w14:textId="77777777" w:rsidR="00CF46CF" w:rsidRDefault="00CF46CF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Organisation</w:t>
            </w:r>
          </w:p>
          <w:p w14:paraId="029F0653" w14:textId="77777777" w:rsidR="00CF46CF" w:rsidRPr="002931FB" w:rsidRDefault="00CF46CF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 w:rsidRPr="00AA09D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i/>
                <w:sz w:val="18"/>
                <w:szCs w:val="18"/>
              </w:rPr>
              <w:t>15</w:t>
            </w:r>
            <w:r w:rsidRPr="00AA09D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544" w:type="pct"/>
          </w:tcPr>
          <w:p w14:paraId="29C24A70" w14:textId="77777777" w:rsidR="00CF46CF" w:rsidRPr="002931FB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CF46CF">
              <w:rPr>
                <w:rFonts w:cs="Tahoma"/>
                <w:sz w:val="18"/>
                <w:szCs w:val="18"/>
              </w:rPr>
              <w:t>Paper not written in logical sequence</w:t>
            </w:r>
          </w:p>
        </w:tc>
        <w:tc>
          <w:tcPr>
            <w:tcW w:w="726" w:type="pct"/>
          </w:tcPr>
          <w:p w14:paraId="1DAE6B95" w14:textId="77777777" w:rsidR="00CF46CF" w:rsidRPr="002931FB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CF46CF">
              <w:rPr>
                <w:rFonts w:cs="Tahoma"/>
                <w:sz w:val="18"/>
                <w:szCs w:val="18"/>
              </w:rPr>
              <w:t xml:space="preserve">Paper mostly written in logical sequence </w:t>
            </w:r>
          </w:p>
        </w:tc>
        <w:tc>
          <w:tcPr>
            <w:tcW w:w="771" w:type="pct"/>
          </w:tcPr>
          <w:p w14:paraId="4761E2C8" w14:textId="77777777" w:rsidR="00CF46CF" w:rsidRPr="00B34A74" w:rsidRDefault="00793AAB" w:rsidP="00AF37CB">
            <w:pPr>
              <w:rPr>
                <w:rFonts w:cs="Tahoma"/>
                <w:sz w:val="18"/>
                <w:szCs w:val="18"/>
              </w:rPr>
            </w:pPr>
            <w:r w:rsidRPr="00B34A74">
              <w:rPr>
                <w:rFonts w:cs="Tahoma"/>
                <w:sz w:val="18"/>
                <w:szCs w:val="18"/>
              </w:rPr>
              <w:t>-</w:t>
            </w:r>
            <w:r w:rsidR="00CF46CF" w:rsidRPr="00B34A74">
              <w:rPr>
                <w:rFonts w:cs="Tahoma"/>
                <w:sz w:val="18"/>
                <w:szCs w:val="18"/>
              </w:rPr>
              <w:t xml:space="preserve">Paper written in logical sequence </w:t>
            </w:r>
          </w:p>
        </w:tc>
        <w:tc>
          <w:tcPr>
            <w:tcW w:w="862" w:type="pct"/>
          </w:tcPr>
          <w:p w14:paraId="11460094" w14:textId="77777777" w:rsidR="00CF46CF" w:rsidRPr="00B34A74" w:rsidRDefault="00793AAB" w:rsidP="00AF37CB">
            <w:pPr>
              <w:rPr>
                <w:rFonts w:cs="Tahoma"/>
                <w:sz w:val="18"/>
                <w:szCs w:val="18"/>
                <w:highlight w:val="yellow"/>
              </w:rPr>
            </w:pPr>
            <w:r w:rsidRPr="00B34A74">
              <w:rPr>
                <w:rFonts w:cs="Tahoma"/>
                <w:sz w:val="18"/>
                <w:szCs w:val="18"/>
                <w:highlight w:val="yellow"/>
              </w:rPr>
              <w:t>-</w:t>
            </w:r>
            <w:r w:rsidR="00CF46CF" w:rsidRPr="00B34A74">
              <w:rPr>
                <w:rFonts w:cs="Tahoma"/>
                <w:sz w:val="18"/>
                <w:szCs w:val="18"/>
                <w:highlight w:val="yellow"/>
              </w:rPr>
              <w:t xml:space="preserve">Paper written in logical sequence and simple concepts easy to follow. More complex concepts less easy to follow. </w:t>
            </w:r>
          </w:p>
        </w:tc>
        <w:tc>
          <w:tcPr>
            <w:tcW w:w="908" w:type="pct"/>
          </w:tcPr>
          <w:p w14:paraId="4590F326" w14:textId="77777777" w:rsidR="00CF46CF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CF46CF">
              <w:rPr>
                <w:rFonts w:cs="Tahoma"/>
                <w:sz w:val="18"/>
                <w:szCs w:val="18"/>
              </w:rPr>
              <w:t xml:space="preserve">Paper written in logical sequence with both simple and complex concepts easy to follow. </w:t>
            </w:r>
          </w:p>
        </w:tc>
      </w:tr>
      <w:tr w:rsidR="00CF46CF" w:rsidRPr="002931FB" w14:paraId="1594BEFE" w14:textId="77777777" w:rsidTr="00E02F1C">
        <w:tc>
          <w:tcPr>
            <w:tcW w:w="1189" w:type="pct"/>
            <w:shd w:val="clear" w:color="auto" w:fill="FBD4B4" w:themeFill="accent6" w:themeFillTint="66"/>
          </w:tcPr>
          <w:p w14:paraId="21DF086D" w14:textId="77777777" w:rsidR="00CF46CF" w:rsidRDefault="00CF46CF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Visuals</w:t>
            </w:r>
          </w:p>
          <w:p w14:paraId="0452F247" w14:textId="77777777" w:rsidR="00CF46CF" w:rsidRDefault="00CF46CF" w:rsidP="00AF37CB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rFonts w:cs="Tahoma"/>
                <w:sz w:val="18"/>
                <w:szCs w:val="18"/>
              </w:rPr>
              <w:t>(</w:t>
            </w:r>
            <w:proofErr w:type="gramStart"/>
            <w:r w:rsidRPr="00851603">
              <w:rPr>
                <w:sz w:val="16"/>
                <w:szCs w:val="16"/>
              </w:rPr>
              <w:t>images</w:t>
            </w:r>
            <w:proofErr w:type="gramEnd"/>
            <w:r w:rsidRPr="00851603">
              <w:rPr>
                <w:sz w:val="16"/>
                <w:szCs w:val="16"/>
              </w:rPr>
              <w:t>, charts, diagrams)</w:t>
            </w:r>
          </w:p>
          <w:p w14:paraId="7D253580" w14:textId="77777777" w:rsidR="00CF46CF" w:rsidRPr="002931FB" w:rsidRDefault="00CF46CF" w:rsidP="00A0733A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 w:rsidRPr="00AA09D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i/>
                <w:sz w:val="18"/>
                <w:szCs w:val="18"/>
              </w:rPr>
              <w:t>1</w:t>
            </w:r>
            <w:r w:rsidR="00A0733A">
              <w:rPr>
                <w:rFonts w:cs="Tahoma"/>
                <w:b/>
                <w:i/>
                <w:sz w:val="18"/>
                <w:szCs w:val="18"/>
              </w:rPr>
              <w:t>0</w:t>
            </w:r>
            <w:r w:rsidRPr="00AA09D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544" w:type="pct"/>
          </w:tcPr>
          <w:p w14:paraId="17827A0C" w14:textId="77777777" w:rsidR="00CF46CF" w:rsidRPr="002931FB" w:rsidRDefault="00793AAB" w:rsidP="00AF37C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CF46CF">
              <w:rPr>
                <w:rFonts w:cs="Tahoma"/>
                <w:sz w:val="18"/>
                <w:szCs w:val="18"/>
              </w:rPr>
              <w:t>Visuals are lacking or inappropriate and/or difficult to follow</w:t>
            </w:r>
          </w:p>
        </w:tc>
        <w:tc>
          <w:tcPr>
            <w:tcW w:w="726" w:type="pct"/>
          </w:tcPr>
          <w:p w14:paraId="0390CC4B" w14:textId="1B03566D" w:rsidR="00CF46CF" w:rsidRDefault="00793AAB" w:rsidP="00AF37CB">
            <w:pPr>
              <w:pStyle w:val="Default"/>
              <w:rPr>
                <w:rFonts w:ascii="Arial" w:hAnsi="Arial" w:cs="Arial"/>
                <w:sz w:val="40"/>
                <w:szCs w:val="40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Appropriate, visuals</w:t>
            </w:r>
            <w:r w:rsidR="00CF46CF" w:rsidRPr="00851603">
              <w:rPr>
                <w:sz w:val="18"/>
                <w:szCs w:val="18"/>
              </w:rPr>
              <w:t xml:space="preserve"> relating to the </w:t>
            </w:r>
            <w:r w:rsidR="00CF46CF">
              <w:rPr>
                <w:sz w:val="18"/>
                <w:szCs w:val="18"/>
              </w:rPr>
              <w:t>content of the case but lack clarity and labelling</w:t>
            </w:r>
          </w:p>
          <w:p w14:paraId="64FA19FB" w14:textId="77777777" w:rsidR="00CF46CF" w:rsidRPr="002931FB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1" w:type="pct"/>
          </w:tcPr>
          <w:p w14:paraId="69C3AFFC" w14:textId="77777777" w:rsidR="00CF46CF" w:rsidRPr="00B34A74" w:rsidRDefault="00793AAB" w:rsidP="00AF37CB">
            <w:pPr>
              <w:pStyle w:val="Default"/>
              <w:rPr>
                <w:sz w:val="18"/>
                <w:szCs w:val="18"/>
                <w:highlight w:val="yellow"/>
              </w:rPr>
            </w:pPr>
            <w:r w:rsidRPr="00B34A74">
              <w:rPr>
                <w:sz w:val="18"/>
                <w:szCs w:val="18"/>
                <w:highlight w:val="yellow"/>
              </w:rPr>
              <w:t>-</w:t>
            </w:r>
            <w:r w:rsidR="00CF46CF" w:rsidRPr="00B34A74">
              <w:rPr>
                <w:sz w:val="18"/>
                <w:szCs w:val="18"/>
                <w:highlight w:val="yellow"/>
              </w:rPr>
              <w:t xml:space="preserve">Appropriate, visuals relating to the content of the case </w:t>
            </w:r>
          </w:p>
          <w:p w14:paraId="134355C7" w14:textId="77777777" w:rsidR="00CF46CF" w:rsidRPr="00B34A74" w:rsidRDefault="00793AAB" w:rsidP="00CF46CF">
            <w:pPr>
              <w:pStyle w:val="Default"/>
              <w:rPr>
                <w:rFonts w:cs="Tahoma"/>
                <w:sz w:val="18"/>
                <w:szCs w:val="18"/>
                <w:highlight w:val="yellow"/>
              </w:rPr>
            </w:pPr>
            <w:r w:rsidRPr="00B34A74">
              <w:rPr>
                <w:sz w:val="18"/>
                <w:szCs w:val="18"/>
                <w:highlight w:val="yellow"/>
              </w:rPr>
              <w:t>-</w:t>
            </w:r>
            <w:r w:rsidR="00CF46CF" w:rsidRPr="00B34A74">
              <w:rPr>
                <w:sz w:val="18"/>
                <w:szCs w:val="18"/>
                <w:highlight w:val="yellow"/>
              </w:rPr>
              <w:t>Visuals are clear and easy to follow with labelling</w:t>
            </w:r>
          </w:p>
        </w:tc>
        <w:tc>
          <w:tcPr>
            <w:tcW w:w="862" w:type="pct"/>
          </w:tcPr>
          <w:p w14:paraId="193E771B" w14:textId="77777777" w:rsidR="00CF46CF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Appropriate, thorough, concise</w:t>
            </w:r>
            <w:r w:rsidR="00CF46CF" w:rsidRPr="00851603">
              <w:rPr>
                <w:sz w:val="18"/>
                <w:szCs w:val="18"/>
              </w:rPr>
              <w:t xml:space="preserve"> </w:t>
            </w:r>
            <w:r w:rsidR="00CF46CF">
              <w:rPr>
                <w:sz w:val="18"/>
                <w:szCs w:val="18"/>
              </w:rPr>
              <w:t>visuals</w:t>
            </w:r>
            <w:r w:rsidR="00CF46CF" w:rsidRPr="00851603">
              <w:rPr>
                <w:sz w:val="18"/>
                <w:szCs w:val="18"/>
              </w:rPr>
              <w:t xml:space="preserve"> relating to the </w:t>
            </w:r>
            <w:r w:rsidR="00CF46CF">
              <w:rPr>
                <w:sz w:val="18"/>
                <w:szCs w:val="18"/>
              </w:rPr>
              <w:t>content of the case</w:t>
            </w:r>
            <w:r w:rsidR="00CF46CF" w:rsidRPr="00851603">
              <w:rPr>
                <w:sz w:val="18"/>
                <w:szCs w:val="18"/>
              </w:rPr>
              <w:t xml:space="preserve"> </w:t>
            </w:r>
          </w:p>
          <w:p w14:paraId="0C6C090C" w14:textId="77777777" w:rsidR="00CF46CF" w:rsidRDefault="00793AAB" w:rsidP="00AF37CB">
            <w:pPr>
              <w:pStyle w:val="Default"/>
              <w:rPr>
                <w:rFonts w:ascii="Arial" w:hAnsi="Arial" w:cs="Arial"/>
                <w:sz w:val="40"/>
                <w:szCs w:val="40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Visuals are clear and easy to follow with labelling</w:t>
            </w:r>
          </w:p>
          <w:p w14:paraId="27A3DAB7" w14:textId="77777777" w:rsidR="00CF46CF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908" w:type="pct"/>
          </w:tcPr>
          <w:p w14:paraId="540A71A6" w14:textId="77777777" w:rsidR="00CF46CF" w:rsidRDefault="00793AAB" w:rsidP="00AF37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Appropriate, thorough, concise</w:t>
            </w:r>
            <w:r w:rsidR="00CF46CF" w:rsidRPr="00851603">
              <w:rPr>
                <w:sz w:val="18"/>
                <w:szCs w:val="18"/>
              </w:rPr>
              <w:t xml:space="preserve"> </w:t>
            </w:r>
            <w:r w:rsidR="00CF46CF">
              <w:rPr>
                <w:sz w:val="18"/>
                <w:szCs w:val="18"/>
              </w:rPr>
              <w:t>visuals</w:t>
            </w:r>
            <w:r w:rsidR="00CF46CF" w:rsidRPr="00851603">
              <w:rPr>
                <w:sz w:val="18"/>
                <w:szCs w:val="18"/>
              </w:rPr>
              <w:t xml:space="preserve"> relating to the </w:t>
            </w:r>
            <w:r w:rsidR="00CF46CF">
              <w:rPr>
                <w:sz w:val="18"/>
                <w:szCs w:val="18"/>
              </w:rPr>
              <w:t>content of the case</w:t>
            </w:r>
            <w:r w:rsidR="00CF46CF" w:rsidRPr="00851603">
              <w:rPr>
                <w:sz w:val="18"/>
                <w:szCs w:val="18"/>
              </w:rPr>
              <w:t xml:space="preserve">, that enhance the ease of understanding for the reader </w:t>
            </w:r>
          </w:p>
          <w:p w14:paraId="2FB6DEF9" w14:textId="77777777" w:rsidR="00CF46CF" w:rsidRDefault="00793AAB" w:rsidP="00CF46CF">
            <w:pPr>
              <w:pStyle w:val="Default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46CF">
              <w:rPr>
                <w:sz w:val="18"/>
                <w:szCs w:val="18"/>
              </w:rPr>
              <w:t>Visuals are clear and easy to follow with labelling</w:t>
            </w:r>
          </w:p>
        </w:tc>
      </w:tr>
      <w:tr w:rsidR="00CF46CF" w:rsidRPr="002931FB" w14:paraId="1480DCAF" w14:textId="77777777" w:rsidTr="00E02F1C">
        <w:trPr>
          <w:trHeight w:val="2117"/>
        </w:trPr>
        <w:tc>
          <w:tcPr>
            <w:tcW w:w="1189" w:type="pct"/>
            <w:shd w:val="clear" w:color="auto" w:fill="FBD4B4" w:themeFill="accent6" w:themeFillTint="66"/>
          </w:tcPr>
          <w:p w14:paraId="066FC329" w14:textId="77777777" w:rsidR="00CF46CF" w:rsidRDefault="00CF46CF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Style</w:t>
            </w:r>
          </w:p>
          <w:p w14:paraId="089EA7CE" w14:textId="77777777" w:rsidR="00CF46CF" w:rsidRPr="002931FB" w:rsidRDefault="00CF46CF" w:rsidP="00AF37CB">
            <w:pPr>
              <w:pStyle w:val="ListParagraph"/>
              <w:ind w:left="0"/>
              <w:rPr>
                <w:rFonts w:cs="Tahoma"/>
                <w:sz w:val="18"/>
                <w:szCs w:val="18"/>
              </w:rPr>
            </w:pPr>
            <w:r w:rsidRPr="00AA09D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i/>
                <w:sz w:val="18"/>
                <w:szCs w:val="18"/>
              </w:rPr>
              <w:t>15</w:t>
            </w:r>
            <w:r w:rsidRPr="00AA09D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544" w:type="pct"/>
          </w:tcPr>
          <w:p w14:paraId="49984E3F" w14:textId="77777777" w:rsidR="00793AAB" w:rsidRDefault="00793AAB" w:rsidP="00AF3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-C</w:t>
            </w:r>
            <w:r w:rsidR="00CF46CF" w:rsidRPr="00DB5A69">
              <w:rPr>
                <w:rFonts w:cstheme="minorHAnsi"/>
                <w:sz w:val="18"/>
                <w:szCs w:val="18"/>
              </w:rPr>
              <w:t>asual and conversational tone</w:t>
            </w:r>
          </w:p>
          <w:p w14:paraId="72FE9A81" w14:textId="77777777" w:rsidR="00793AAB" w:rsidRDefault="00793AAB" w:rsidP="00AF3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-M</w:t>
            </w:r>
            <w:r w:rsidR="00CF46CF">
              <w:rPr>
                <w:rFonts w:cstheme="minorHAnsi"/>
                <w:sz w:val="18"/>
                <w:szCs w:val="18"/>
              </w:rPr>
              <w:t xml:space="preserve">any misspellings and grammatical </w:t>
            </w:r>
            <w:r>
              <w:rPr>
                <w:rFonts w:cstheme="minorHAnsi"/>
                <w:sz w:val="18"/>
                <w:szCs w:val="18"/>
              </w:rPr>
              <w:t>errors</w:t>
            </w:r>
          </w:p>
          <w:p w14:paraId="2C7A3BFA" w14:textId="77777777" w:rsidR="00CF46CF" w:rsidRDefault="00793AAB" w:rsidP="00AF3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-P</w:t>
            </w:r>
            <w:r w:rsidR="00CF46CF">
              <w:rPr>
                <w:rFonts w:cstheme="minorHAnsi"/>
                <w:sz w:val="18"/>
                <w:szCs w:val="18"/>
              </w:rPr>
              <w:t>oor sentence structure,</w:t>
            </w:r>
          </w:p>
          <w:p w14:paraId="685BBC10" w14:textId="3518E934" w:rsidR="00CF46CF" w:rsidRPr="002931FB" w:rsidRDefault="00793AAB" w:rsidP="00A0733A">
            <w:pPr>
              <w:rPr>
                <w:rFonts w:cs="Tahoma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-D</w:t>
            </w:r>
            <w:r w:rsidR="00CF46CF">
              <w:rPr>
                <w:rFonts w:cstheme="minorHAnsi"/>
                <w:sz w:val="18"/>
                <w:szCs w:val="18"/>
              </w:rPr>
              <w:t xml:space="preserve">oes not comply with formatting guidelines </w:t>
            </w:r>
          </w:p>
        </w:tc>
        <w:tc>
          <w:tcPr>
            <w:tcW w:w="726" w:type="pct"/>
          </w:tcPr>
          <w:p w14:paraId="224A8E47" w14:textId="77777777" w:rsidR="00793AAB" w:rsidRDefault="00793AAB" w:rsidP="00AF3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836674">
              <w:rPr>
                <w:rFonts w:cstheme="minorHAnsi"/>
                <w:sz w:val="18"/>
                <w:szCs w:val="18"/>
                <w:highlight w:val="yellow"/>
              </w:rPr>
              <w:t>C</w:t>
            </w:r>
            <w:r w:rsidR="00CF46CF" w:rsidRPr="00836674">
              <w:rPr>
                <w:rFonts w:cstheme="minorHAnsi"/>
                <w:sz w:val="18"/>
                <w:szCs w:val="18"/>
                <w:highlight w:val="yellow"/>
              </w:rPr>
              <w:t>asual and conversational tone</w:t>
            </w:r>
          </w:p>
          <w:p w14:paraId="2140F2D1" w14:textId="77777777" w:rsidR="00CF46CF" w:rsidRDefault="00793AAB" w:rsidP="00AF3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-Some</w:t>
            </w:r>
            <w:r w:rsidR="00CF46CF">
              <w:rPr>
                <w:rFonts w:cstheme="minorHAnsi"/>
                <w:sz w:val="18"/>
                <w:szCs w:val="18"/>
              </w:rPr>
              <w:t xml:space="preserve"> misspellings and grammatical errors, acceptable sentence structure,</w:t>
            </w:r>
          </w:p>
          <w:p w14:paraId="53AFF82B" w14:textId="6A1747E5" w:rsidR="00CF46CF" w:rsidRPr="002931FB" w:rsidRDefault="00793AAB" w:rsidP="00A0733A">
            <w:pPr>
              <w:rPr>
                <w:rFonts w:cs="Tahoma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CF46CF">
              <w:rPr>
                <w:rFonts w:cstheme="minorHAnsi"/>
                <w:sz w:val="18"/>
                <w:szCs w:val="18"/>
              </w:rPr>
              <w:t xml:space="preserve">mostly complies with formatting guidelines </w:t>
            </w:r>
          </w:p>
        </w:tc>
        <w:tc>
          <w:tcPr>
            <w:tcW w:w="771" w:type="pct"/>
          </w:tcPr>
          <w:p w14:paraId="20D064F6" w14:textId="77777777" w:rsidR="00793AAB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DB5A69">
              <w:rPr>
                <w:rFonts w:asciiTheme="minorHAnsi" w:hAnsiTheme="minorHAnsi" w:cstheme="minorHAnsi"/>
                <w:sz w:val="18"/>
                <w:szCs w:val="18"/>
              </w:rPr>
              <w:t>Use scientific and professional tone</w:t>
            </w:r>
          </w:p>
          <w:p w14:paraId="75BDF4F3" w14:textId="74C7EE96" w:rsidR="00CF46CF" w:rsidRPr="00DB5A69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366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-F</w:t>
            </w:r>
            <w:r w:rsidR="00CF46CF" w:rsidRPr="008366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ew misspellings or grammatical errors, </w:t>
            </w:r>
            <w:proofErr w:type="gramStart"/>
            <w:r w:rsidR="00CF46CF" w:rsidRPr="008366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Good</w:t>
            </w:r>
            <w:proofErr w:type="gramEnd"/>
            <w:r w:rsidR="00836674" w:rsidRPr="008366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</w:t>
            </w:r>
            <w:r w:rsidR="00CF46CF" w:rsidRPr="008366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sentence structure</w:t>
            </w:r>
            <w:r w:rsidR="00CF46CF" w:rsidRPr="00DB5A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36B0857" w14:textId="77777777" w:rsidR="00CF46CF" w:rsidRDefault="00CF46CF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B5A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3AAB" w:rsidRPr="008366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Pr="008366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Smooth flow of different aspects of the case, mostly complies with formatting guidelines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C2BA10A" w14:textId="77777777" w:rsidR="00CF46CF" w:rsidRDefault="00CF46CF" w:rsidP="00AF37C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62" w:type="pct"/>
          </w:tcPr>
          <w:p w14:paraId="00CDAF4A" w14:textId="77777777" w:rsidR="00CF46CF" w:rsidRPr="00836674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83667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836674">
              <w:rPr>
                <w:rFonts w:asciiTheme="minorHAnsi" w:hAnsiTheme="minorHAnsi" w:cstheme="minorHAnsi"/>
                <w:sz w:val="18"/>
                <w:szCs w:val="18"/>
              </w:rPr>
              <w:t xml:space="preserve">No misspellings or grammatical errors </w:t>
            </w:r>
          </w:p>
          <w:p w14:paraId="6DCA5544" w14:textId="77777777" w:rsidR="00CF46CF" w:rsidRPr="00836674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83667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836674">
              <w:rPr>
                <w:rFonts w:asciiTheme="minorHAnsi" w:hAnsiTheme="minorHAnsi" w:cstheme="minorHAnsi"/>
                <w:sz w:val="18"/>
                <w:szCs w:val="18"/>
              </w:rPr>
              <w:t xml:space="preserve">Good sentence structure </w:t>
            </w:r>
          </w:p>
          <w:p w14:paraId="0635F211" w14:textId="77777777" w:rsidR="00CF46CF" w:rsidRPr="00836674" w:rsidRDefault="00CF46CF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8366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3AAB" w:rsidRPr="0083667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836674">
              <w:rPr>
                <w:rFonts w:asciiTheme="minorHAnsi" w:hAnsiTheme="minorHAnsi" w:cstheme="minorHAnsi"/>
                <w:sz w:val="18"/>
                <w:szCs w:val="18"/>
              </w:rPr>
              <w:t>Smooth flow of different aspects of the case</w:t>
            </w:r>
          </w:p>
          <w:p w14:paraId="5E942574" w14:textId="77777777" w:rsidR="00CF46CF" w:rsidRPr="00836674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83667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836674">
              <w:rPr>
                <w:rFonts w:asciiTheme="minorHAnsi" w:hAnsiTheme="minorHAnsi" w:cstheme="minorHAnsi"/>
                <w:sz w:val="18"/>
                <w:szCs w:val="18"/>
              </w:rPr>
              <w:t>Use scientific and professional tone</w:t>
            </w:r>
          </w:p>
          <w:p w14:paraId="746DC494" w14:textId="77777777" w:rsidR="00CF46CF" w:rsidRPr="00836674" w:rsidRDefault="00793AAB" w:rsidP="00A0733A">
            <w:pPr>
              <w:pStyle w:val="Default"/>
              <w:rPr>
                <w:rFonts w:cs="Tahoma"/>
                <w:sz w:val="18"/>
                <w:szCs w:val="18"/>
              </w:rPr>
            </w:pPr>
            <w:r w:rsidRPr="0083667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836674">
              <w:rPr>
                <w:rFonts w:asciiTheme="minorHAnsi" w:hAnsiTheme="minorHAnsi" w:cstheme="minorHAnsi"/>
                <w:sz w:val="18"/>
                <w:szCs w:val="18"/>
              </w:rPr>
              <w:t xml:space="preserve">Fully complies with formatting guidelines </w:t>
            </w:r>
          </w:p>
        </w:tc>
        <w:tc>
          <w:tcPr>
            <w:tcW w:w="908" w:type="pct"/>
          </w:tcPr>
          <w:p w14:paraId="321B621E" w14:textId="77777777" w:rsidR="00CF46CF" w:rsidRPr="00DB5A69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DB5A69">
              <w:rPr>
                <w:rFonts w:asciiTheme="minorHAnsi" w:hAnsiTheme="minorHAnsi" w:cstheme="minorHAnsi"/>
                <w:sz w:val="18"/>
                <w:szCs w:val="18"/>
              </w:rPr>
              <w:t xml:space="preserve">No misspellings or grammatical errors </w:t>
            </w:r>
          </w:p>
          <w:p w14:paraId="5F8FF895" w14:textId="77777777" w:rsidR="00CF46CF" w:rsidRPr="00DB5A69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DB5A69">
              <w:rPr>
                <w:rFonts w:asciiTheme="minorHAnsi" w:hAnsiTheme="minorHAnsi" w:cstheme="minorHAnsi"/>
                <w:sz w:val="18"/>
                <w:szCs w:val="18"/>
              </w:rPr>
              <w:t xml:space="preserve">Good sentence structure </w:t>
            </w:r>
          </w:p>
          <w:p w14:paraId="3140443F" w14:textId="77777777" w:rsidR="00CF46CF" w:rsidRPr="00DB5A69" w:rsidRDefault="00CF46CF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B5A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3AA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DB5A69">
              <w:rPr>
                <w:rFonts w:asciiTheme="minorHAnsi" w:hAnsiTheme="minorHAnsi" w:cstheme="minorHAnsi"/>
                <w:sz w:val="18"/>
                <w:szCs w:val="18"/>
              </w:rPr>
              <w:t>Engag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ing and appealing to </w:t>
            </w:r>
            <w:r w:rsidRPr="00DB5A69">
              <w:rPr>
                <w:rFonts w:asciiTheme="minorHAnsi" w:hAnsiTheme="minorHAnsi" w:cstheme="minorHAnsi"/>
                <w:sz w:val="18"/>
                <w:szCs w:val="18"/>
              </w:rPr>
              <w:t>the reader</w:t>
            </w:r>
          </w:p>
          <w:p w14:paraId="0986EFBE" w14:textId="77777777" w:rsidR="00CF46CF" w:rsidRPr="00DB5A69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>
              <w:rPr>
                <w:rFonts w:asciiTheme="minorHAnsi" w:hAnsiTheme="minorHAnsi" w:cstheme="minorHAnsi"/>
                <w:sz w:val="18"/>
                <w:szCs w:val="18"/>
              </w:rPr>
              <w:t xml:space="preserve">Smooth flow of </w:t>
            </w:r>
            <w:r w:rsidR="00CF46CF" w:rsidRPr="00DB5A69">
              <w:rPr>
                <w:rFonts w:asciiTheme="minorHAnsi" w:hAnsiTheme="minorHAnsi" w:cstheme="minorHAnsi"/>
                <w:sz w:val="18"/>
                <w:szCs w:val="18"/>
              </w:rPr>
              <w:t>different aspects of the case</w:t>
            </w:r>
          </w:p>
          <w:p w14:paraId="18A8111C" w14:textId="77777777" w:rsidR="00CF46CF" w:rsidRDefault="00793AAB" w:rsidP="00AF37C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 w:rsidRPr="00DB5A69">
              <w:rPr>
                <w:rFonts w:asciiTheme="minorHAnsi" w:hAnsiTheme="minorHAnsi" w:cstheme="minorHAnsi"/>
                <w:sz w:val="18"/>
                <w:szCs w:val="18"/>
              </w:rPr>
              <w:t>Use scientific and professional tone</w:t>
            </w:r>
          </w:p>
          <w:p w14:paraId="02A524C9" w14:textId="77777777" w:rsidR="00CF46CF" w:rsidRDefault="00793AAB" w:rsidP="00E02F1C">
            <w:pPr>
              <w:pStyle w:val="Default"/>
              <w:rPr>
                <w:rFonts w:cs="Tahom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F46CF">
              <w:rPr>
                <w:rFonts w:asciiTheme="minorHAnsi" w:hAnsiTheme="minorHAnsi" w:cstheme="minorHAnsi"/>
                <w:sz w:val="18"/>
                <w:szCs w:val="18"/>
              </w:rPr>
              <w:t xml:space="preserve">Fully complies with formatting guidelines </w:t>
            </w:r>
          </w:p>
        </w:tc>
      </w:tr>
      <w:tr w:rsidR="00CF46CF" w:rsidRPr="002931FB" w14:paraId="1EEE30EB" w14:textId="77777777" w:rsidTr="00CF46CF">
        <w:trPr>
          <w:trHeight w:val="285"/>
        </w:trPr>
        <w:tc>
          <w:tcPr>
            <w:tcW w:w="5000" w:type="pct"/>
            <w:gridSpan w:val="6"/>
            <w:shd w:val="clear" w:color="auto" w:fill="FBD4B4" w:themeFill="accent6" w:themeFillTint="66"/>
          </w:tcPr>
          <w:p w14:paraId="2E9ED8C1" w14:textId="09FEB90E" w:rsidR="00CF46CF" w:rsidRDefault="00CF46CF" w:rsidP="00A0733A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If a </w:t>
            </w:r>
            <w:r w:rsidRPr="002931FB">
              <w:rPr>
                <w:rFonts w:cs="Tahoma"/>
                <w:b/>
                <w:i/>
                <w:sz w:val="18"/>
                <w:szCs w:val="18"/>
              </w:rPr>
              <w:t>student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 breaches the academic integrity policy, t</w:t>
            </w:r>
            <w:r w:rsidRPr="002931FB">
              <w:rPr>
                <w:rFonts w:cs="Tahoma"/>
                <w:b/>
                <w:i/>
                <w:sz w:val="18"/>
                <w:szCs w:val="18"/>
              </w:rPr>
              <w:t>he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y </w:t>
            </w:r>
            <w:proofErr w:type="gramStart"/>
            <w:r>
              <w:rPr>
                <w:rFonts w:cs="Tahoma"/>
                <w:b/>
                <w:i/>
                <w:sz w:val="18"/>
                <w:szCs w:val="18"/>
              </w:rPr>
              <w:t xml:space="preserve">will </w:t>
            </w:r>
            <w:r w:rsidR="00A0733A">
              <w:rPr>
                <w:rFonts w:cs="Tahoma"/>
                <w:b/>
                <w:i/>
                <w:sz w:val="18"/>
                <w:szCs w:val="18"/>
              </w:rPr>
              <w:t>may</w:t>
            </w:r>
            <w:proofErr w:type="gramEnd"/>
            <w:r w:rsidR="00A0733A">
              <w:rPr>
                <w:rFonts w:cs="Tahoma"/>
                <w:b/>
                <w:i/>
                <w:sz w:val="18"/>
                <w:szCs w:val="18"/>
              </w:rPr>
              <w:t xml:space="preserve"> be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 referred to an academic integrity officer and risk failing the assessment</w:t>
            </w:r>
          </w:p>
        </w:tc>
      </w:tr>
    </w:tbl>
    <w:p w14:paraId="32D761D1" w14:textId="53995F3A" w:rsidR="00B34D6B" w:rsidRDefault="00B34D6B" w:rsidP="00CF46CF"/>
    <w:p w14:paraId="47034552" w14:textId="77777777" w:rsidR="00F77F79" w:rsidRDefault="00F77F79" w:rsidP="00B34A74">
      <w:pPr>
        <w:spacing w:after="160" w:line="360" w:lineRule="auto"/>
        <w:rPr>
          <w:rFonts w:ascii="Calibri" w:eastAsia="DengXian" w:hAnsi="Calibri" w:cs="Times New Roman"/>
          <w:lang w:eastAsia="zh-CN"/>
        </w:rPr>
      </w:pPr>
    </w:p>
    <w:p w14:paraId="53B604C6" w14:textId="77777777" w:rsidR="00F77F79" w:rsidRDefault="00F77F79" w:rsidP="00B34A74">
      <w:pPr>
        <w:spacing w:after="160" w:line="360" w:lineRule="auto"/>
        <w:rPr>
          <w:rFonts w:ascii="Calibri" w:eastAsia="DengXian" w:hAnsi="Calibri" w:cs="Times New Roman"/>
          <w:lang w:eastAsia="zh-CN"/>
        </w:rPr>
      </w:pPr>
    </w:p>
    <w:p w14:paraId="60F2A3D5" w14:textId="77777777" w:rsidR="00F77F79" w:rsidRDefault="00F77F79" w:rsidP="00B34A74">
      <w:pPr>
        <w:spacing w:after="160" w:line="360" w:lineRule="auto"/>
        <w:rPr>
          <w:rFonts w:ascii="Calibri" w:eastAsia="DengXian" w:hAnsi="Calibri" w:cs="Times New Roman"/>
          <w:lang w:eastAsia="zh-CN"/>
        </w:rPr>
      </w:pPr>
    </w:p>
    <w:p w14:paraId="7D7861A0" w14:textId="77777777" w:rsidR="00F77F79" w:rsidRDefault="00F77F79" w:rsidP="00B34A74">
      <w:pPr>
        <w:spacing w:after="160" w:line="360" w:lineRule="auto"/>
        <w:rPr>
          <w:rFonts w:ascii="Calibri" w:eastAsia="DengXian" w:hAnsi="Calibri" w:cs="Times New Roman"/>
          <w:lang w:eastAsia="zh-CN"/>
        </w:rPr>
      </w:pPr>
    </w:p>
    <w:p w14:paraId="63D9B7A4" w14:textId="32F33CDF" w:rsidR="00B34A74" w:rsidRPr="00DF6E31" w:rsidRDefault="00B34A74" w:rsidP="00B34A74">
      <w:pPr>
        <w:spacing w:after="160" w:line="360" w:lineRule="auto"/>
        <w:rPr>
          <w:rFonts w:ascii="Calibri" w:eastAsia="DengXian" w:hAnsi="Calibri" w:cs="Times New Roman"/>
          <w:lang w:eastAsia="zh-CN"/>
        </w:rPr>
      </w:pPr>
      <w:r w:rsidRPr="00DF6E31">
        <w:rPr>
          <w:rFonts w:ascii="Calibri" w:eastAsia="DengXian" w:hAnsi="Calibri" w:cs="Times New Roman"/>
          <w:lang w:eastAsia="zh-CN"/>
        </w:rPr>
        <w:t xml:space="preserve">Hi </w:t>
      </w:r>
      <w:r w:rsidR="00535E05">
        <w:rPr>
          <w:rFonts w:ascii="Calibri" w:eastAsia="DengXian" w:hAnsi="Calibri" w:cs="Times New Roman"/>
          <w:lang w:eastAsia="zh-CN"/>
        </w:rPr>
        <w:t>Wei</w:t>
      </w:r>
      <w:r w:rsidRPr="00DF6E31">
        <w:rPr>
          <w:rFonts w:ascii="Calibri" w:eastAsia="DengXian" w:hAnsi="Calibri" w:cs="Times New Roman"/>
          <w:lang w:eastAsia="zh-CN"/>
        </w:rPr>
        <w:t>,</w:t>
      </w:r>
    </w:p>
    <w:p w14:paraId="32670BC9" w14:textId="0EFA6A2E" w:rsidR="00B34A74" w:rsidRPr="00DF6E31" w:rsidRDefault="00B34A74" w:rsidP="00B34A74">
      <w:pPr>
        <w:spacing w:after="160"/>
        <w:rPr>
          <w:rFonts w:ascii="Calibri" w:eastAsia="DengXian" w:hAnsi="Calibri" w:cs="Times New Roman"/>
          <w:lang w:eastAsia="zh-CN"/>
        </w:rPr>
      </w:pPr>
      <w:r w:rsidRPr="00DF6E31">
        <w:rPr>
          <w:rFonts w:ascii="Calibri" w:eastAsia="DengXian" w:hAnsi="Calibri" w:cs="Times New Roman"/>
          <w:lang w:eastAsia="zh-CN"/>
        </w:rPr>
        <w:t xml:space="preserve">This was a comprehensive case study where you have covered the topic well. </w:t>
      </w:r>
    </w:p>
    <w:p w14:paraId="363BE581" w14:textId="77412379" w:rsidR="00B34A74" w:rsidRPr="00DF6E31" w:rsidRDefault="00B34A74" w:rsidP="00B34A74">
      <w:pPr>
        <w:spacing w:after="160"/>
        <w:rPr>
          <w:rFonts w:ascii="Calibri" w:eastAsia="DengXian" w:hAnsi="Calibri" w:cs="Times New Roman"/>
          <w:lang w:eastAsia="zh-CN"/>
        </w:rPr>
      </w:pPr>
      <w:r w:rsidRPr="00DF6E31">
        <w:rPr>
          <w:rFonts w:ascii="Calibri" w:eastAsia="DengXian" w:hAnsi="Calibri" w:cs="Times New Roman"/>
          <w:lang w:eastAsia="zh-CN"/>
        </w:rPr>
        <w:t xml:space="preserve">The </w:t>
      </w:r>
      <w:r w:rsidR="001046E5">
        <w:rPr>
          <w:rFonts w:ascii="Calibri" w:eastAsia="DengXian" w:hAnsi="Calibri" w:cs="Times New Roman"/>
          <w:lang w:eastAsia="zh-CN"/>
        </w:rPr>
        <w:t xml:space="preserve">ultrasound </w:t>
      </w:r>
      <w:r w:rsidRPr="00DF6E31">
        <w:rPr>
          <w:rFonts w:ascii="Calibri" w:eastAsia="DengXian" w:hAnsi="Calibri" w:cs="Times New Roman"/>
          <w:lang w:eastAsia="zh-CN"/>
        </w:rPr>
        <w:t xml:space="preserve">images that you have included were excellent, but perhaps including further anatomy labelling and explanatory </w:t>
      </w:r>
      <w:r w:rsidR="003F6F34">
        <w:rPr>
          <w:rFonts w:ascii="Calibri" w:eastAsia="DengXian" w:hAnsi="Calibri" w:cs="Times New Roman"/>
          <w:lang w:eastAsia="zh-CN"/>
        </w:rPr>
        <w:t>keys/</w:t>
      </w:r>
      <w:r w:rsidRPr="00DF6E31">
        <w:rPr>
          <w:rFonts w:ascii="Calibri" w:eastAsia="DengXian" w:hAnsi="Calibri" w:cs="Times New Roman"/>
          <w:lang w:eastAsia="zh-CN"/>
        </w:rPr>
        <w:t>legends to these would have been a nice addition.</w:t>
      </w:r>
    </w:p>
    <w:p w14:paraId="7E75AEDD" w14:textId="3C2EF975" w:rsidR="00F77F79" w:rsidRPr="00AC5E2C" w:rsidRDefault="001046E5" w:rsidP="00F77F79">
      <w:pPr>
        <w:spacing w:line="240" w:lineRule="auto"/>
        <w:rPr>
          <w:rFonts w:ascii="Calibri" w:eastAsia="DengXian" w:hAnsi="Calibri" w:cs="Times New Roman"/>
          <w:lang w:eastAsia="zh-CN"/>
        </w:rPr>
      </w:pPr>
      <w:r>
        <w:rPr>
          <w:rFonts w:ascii="Calibri" w:eastAsia="DengXian" w:hAnsi="Calibri" w:cs="Times New Roman"/>
          <w:lang w:eastAsia="zh-CN"/>
        </w:rPr>
        <w:t>Also, p</w:t>
      </w:r>
      <w:r w:rsidR="00B34A74">
        <w:rPr>
          <w:rFonts w:ascii="Calibri" w:eastAsia="DengXian" w:hAnsi="Calibri" w:cs="Times New Roman"/>
          <w:lang w:eastAsia="zh-CN"/>
        </w:rPr>
        <w:t>erhaps providing further detail</w:t>
      </w:r>
      <w:r w:rsidR="00F77F79">
        <w:rPr>
          <w:rFonts w:ascii="Calibri" w:eastAsia="DengXian" w:hAnsi="Calibri" w:cs="Times New Roman"/>
          <w:lang w:eastAsia="zh-CN"/>
        </w:rPr>
        <w:t>/images</w:t>
      </w:r>
      <w:r w:rsidR="00B34A74">
        <w:rPr>
          <w:rFonts w:ascii="Calibri" w:eastAsia="DengXian" w:hAnsi="Calibri" w:cs="Times New Roman"/>
          <w:lang w:eastAsia="zh-CN"/>
        </w:rPr>
        <w:t xml:space="preserve"> relating to the scan technique as well as the normal anatomy visualised in the region of interest for your case would have added to your paper. </w:t>
      </w:r>
      <w:r>
        <w:rPr>
          <w:rFonts w:ascii="Calibri" w:eastAsia="DengXian" w:hAnsi="Calibri" w:cs="Times New Roman"/>
          <w:lang w:eastAsia="zh-CN"/>
        </w:rPr>
        <w:t>Finally, r</w:t>
      </w:r>
      <w:r w:rsidR="003F6F34">
        <w:rPr>
          <w:rFonts w:ascii="Calibri" w:eastAsia="DengXian" w:hAnsi="Calibri" w:cs="Times New Roman"/>
          <w:lang w:eastAsia="zh-CN"/>
        </w:rPr>
        <w:t>eferring</w:t>
      </w:r>
      <w:r w:rsidR="00F77F79">
        <w:rPr>
          <w:rFonts w:ascii="Calibri" w:eastAsia="DengXian" w:hAnsi="Calibri" w:cs="Times New Roman"/>
          <w:lang w:eastAsia="zh-CN"/>
        </w:rPr>
        <w:t xml:space="preserve"> to your case more during your discussion section would have added further relevance and depth.</w:t>
      </w:r>
    </w:p>
    <w:p w14:paraId="32E04448" w14:textId="03C25B4F" w:rsidR="00B34A74" w:rsidRDefault="00B34A74" w:rsidP="00B34A74">
      <w:pPr>
        <w:spacing w:after="160"/>
        <w:rPr>
          <w:rFonts w:ascii="Calibri" w:eastAsia="DengXian" w:hAnsi="Calibri" w:cs="Times New Roman"/>
          <w:lang w:eastAsia="zh-CN"/>
        </w:rPr>
      </w:pPr>
      <w:r w:rsidRPr="00DF6E31">
        <w:rPr>
          <w:rFonts w:ascii="Calibri" w:eastAsia="DengXian" w:hAnsi="Calibri" w:cs="Times New Roman"/>
          <w:lang w:eastAsia="zh-CN"/>
        </w:rPr>
        <w:t>Otherwise, a very good attempt – I have included a few comments for you to have a think about.</w:t>
      </w:r>
    </w:p>
    <w:p w14:paraId="60A83D65" w14:textId="1BCB2A89" w:rsidR="00B34A74" w:rsidRPr="00DF6E31" w:rsidRDefault="00B34A74" w:rsidP="00B34A74">
      <w:pPr>
        <w:spacing w:after="160"/>
        <w:rPr>
          <w:rFonts w:ascii="Calibri" w:eastAsia="DengXian" w:hAnsi="Calibri" w:cs="Times New Roman"/>
          <w:lang w:eastAsia="zh-CN"/>
        </w:rPr>
      </w:pPr>
      <w:r>
        <w:rPr>
          <w:rFonts w:ascii="Calibri" w:eastAsia="DengXian" w:hAnsi="Calibri" w:cs="Times New Roman"/>
          <w:lang w:eastAsia="zh-CN"/>
        </w:rPr>
        <w:t xml:space="preserve">Please consider presenting this as a case study poster at the next ASA conference as your case can provide </w:t>
      </w:r>
      <w:r w:rsidR="001046E5">
        <w:rPr>
          <w:rFonts w:ascii="Calibri" w:eastAsia="DengXian" w:hAnsi="Calibri" w:cs="Times New Roman"/>
          <w:lang w:eastAsia="zh-CN"/>
        </w:rPr>
        <w:t xml:space="preserve">helpful </w:t>
      </w:r>
      <w:r>
        <w:rPr>
          <w:rFonts w:ascii="Calibri" w:eastAsia="DengXian" w:hAnsi="Calibri" w:cs="Times New Roman"/>
          <w:lang w:eastAsia="zh-CN"/>
        </w:rPr>
        <w:t>information to the general sonography population – happy to help you with this if you do decide to submit an abstract.</w:t>
      </w:r>
    </w:p>
    <w:p w14:paraId="7F7C9814" w14:textId="68333B71" w:rsidR="00F77F79" w:rsidRDefault="00B34A74" w:rsidP="00F77F79">
      <w:pPr>
        <w:spacing w:after="160"/>
        <w:rPr>
          <w:rFonts w:ascii="Calibri" w:eastAsia="DengXian" w:hAnsi="Calibri" w:cs="Times New Roman"/>
          <w:lang w:eastAsia="zh-CN"/>
        </w:rPr>
      </w:pPr>
      <w:r w:rsidRPr="00DF6E31">
        <w:rPr>
          <w:rFonts w:ascii="Calibri" w:eastAsia="DengXian" w:hAnsi="Calibri" w:cs="Times New Roman"/>
          <w:lang w:eastAsia="zh-CN"/>
        </w:rPr>
        <w:t>Well done and all the best with your future studies</w:t>
      </w:r>
      <w:r w:rsidR="001046E5">
        <w:rPr>
          <w:rFonts w:ascii="Calibri" w:eastAsia="DengXian" w:hAnsi="Calibri" w:cs="Times New Roman"/>
          <w:lang w:eastAsia="zh-CN"/>
        </w:rPr>
        <w:t>. Thanks for a lovely study period.</w:t>
      </w:r>
    </w:p>
    <w:p w14:paraId="71B87CC5" w14:textId="5D0E1B9C" w:rsidR="00F77F79" w:rsidRDefault="00F77F79" w:rsidP="00B34A74">
      <w:pPr>
        <w:spacing w:after="160"/>
        <w:rPr>
          <w:rFonts w:ascii="Calibri" w:eastAsia="DengXian" w:hAnsi="Calibri" w:cs="Times New Roman"/>
          <w:lang w:eastAsia="zh-CN"/>
        </w:rPr>
      </w:pPr>
      <w:r>
        <w:rPr>
          <w:rFonts w:ascii="Calibri" w:eastAsia="DengXian" w:hAnsi="Calibri" w:cs="Times New Roman"/>
          <w:lang w:eastAsia="zh-CN"/>
        </w:rPr>
        <w:t xml:space="preserve">Grade: </w:t>
      </w:r>
      <w:r w:rsidR="00836674">
        <w:rPr>
          <w:rFonts w:ascii="Calibri" w:eastAsia="DengXian" w:hAnsi="Calibri" w:cs="Times New Roman"/>
          <w:lang w:eastAsia="zh-CN"/>
        </w:rPr>
        <w:t>Credit</w:t>
      </w:r>
    </w:p>
    <w:p w14:paraId="480583AA" w14:textId="2CF9C941" w:rsidR="00F77F79" w:rsidRDefault="00F77F79" w:rsidP="00B34A74">
      <w:pPr>
        <w:spacing w:after="160"/>
        <w:rPr>
          <w:rFonts w:ascii="Calibri" w:eastAsia="DengXian" w:hAnsi="Calibri" w:cs="Times New Roman"/>
          <w:lang w:eastAsia="zh-CN"/>
        </w:rPr>
      </w:pPr>
      <w:r>
        <w:rPr>
          <w:rFonts w:ascii="Calibri" w:eastAsia="DengXian" w:hAnsi="Calibri" w:cs="Times New Roman"/>
          <w:lang w:eastAsia="zh-CN"/>
        </w:rPr>
        <w:t>Angela</w:t>
      </w:r>
    </w:p>
    <w:p w14:paraId="7A416257" w14:textId="77777777" w:rsidR="00F77F79" w:rsidRDefault="00F77F79" w:rsidP="00B34A74">
      <w:pPr>
        <w:spacing w:after="160"/>
        <w:rPr>
          <w:rFonts w:ascii="Calibri" w:eastAsia="DengXian" w:hAnsi="Calibri" w:cs="Times New Roman"/>
          <w:lang w:eastAsia="zh-CN"/>
        </w:rPr>
      </w:pPr>
    </w:p>
    <w:p w14:paraId="3DE70C90" w14:textId="77777777" w:rsidR="00B34A74" w:rsidRDefault="00B34A74" w:rsidP="00CF46CF"/>
    <w:sectPr w:rsidR="00B34A74" w:rsidSect="00CF46CF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53"/>
    <w:rsid w:val="001046E5"/>
    <w:rsid w:val="003F6F34"/>
    <w:rsid w:val="0047439C"/>
    <w:rsid w:val="00507A15"/>
    <w:rsid w:val="00535E05"/>
    <w:rsid w:val="005859C0"/>
    <w:rsid w:val="00793AAB"/>
    <w:rsid w:val="007C00F5"/>
    <w:rsid w:val="00822CFB"/>
    <w:rsid w:val="00836674"/>
    <w:rsid w:val="00A0733A"/>
    <w:rsid w:val="00B34A74"/>
    <w:rsid w:val="00B34D6B"/>
    <w:rsid w:val="00C47453"/>
    <w:rsid w:val="00CF46CF"/>
    <w:rsid w:val="00DD4406"/>
    <w:rsid w:val="00E02F1C"/>
    <w:rsid w:val="00F7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8E15"/>
  <w15:docId w15:val="{B0736159-216D-44AF-BAFA-18962DE3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6CF"/>
    <w:pPr>
      <w:ind w:left="720"/>
      <w:contextualSpacing/>
    </w:pPr>
  </w:style>
  <w:style w:type="table" w:styleId="TableGrid">
    <w:name w:val="Table Grid"/>
    <w:basedOn w:val="TableNormal"/>
    <w:uiPriority w:val="59"/>
    <w:rsid w:val="00CF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6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Australia</dc:creator>
  <cp:keywords/>
  <dc:description/>
  <cp:lastModifiedBy>Angela Farley</cp:lastModifiedBy>
  <cp:revision>4</cp:revision>
  <dcterms:created xsi:type="dcterms:W3CDTF">2023-07-01T08:49:00Z</dcterms:created>
  <dcterms:modified xsi:type="dcterms:W3CDTF">2023-12-14T02:48:00Z</dcterms:modified>
</cp:coreProperties>
</file>